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2)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 Play Mode GUI be the same as the Build Mode minus the buttons?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 revised specification be changed throughout the 10 weeks?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we add the absorb or is it already part of the grid?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we use a grid layout for placing the gizmos?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Load a saved map straight into play mode without having to go through build mode?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Move/Rotate/Delete modes only exited through a different button click or by entering Play mode a good design?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feature “switch between the two modes freely” mean real time update from Build to Play Mode (i.e. through a Refresh button)?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built mode as default mode a good idea? - Yes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Provide drawings or screenshots of the GUI for the two modes: construction and play - to be worked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Goals for upcoming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Preliminary Design deliverables: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Revised Spec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 Cases (change based on feedback)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Produce Class Diagram and think of methods needed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Project Plan (Gantt chart) and with task allocation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Physics Loop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Triggering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allocation for Preliminary Release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