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7)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Switching from build mode to play mode, do we need to be able to load an unsaved build from build mode into playmode (Greig)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Absorber needs complete reimplementation before merge into main project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trying to avoid internal collision with top line segment when ball shot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Ball sinks down in every line segment once it stops bouncing (when gravity is applied)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Having problems moving from single Ball object to arraylist of balls in Model class (mainly for collisions)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of Randoop for testing part of Model?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draw ball on top of Absorber (ball not hidden)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able to figure out how to increase frame rate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Currently implementing collisions using redrawn flippers without animation. Going quite well. (TM)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adjusting gravity/friction calculations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Decide on how to handle switch between Build Mode and Play Mode (what classes)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of git branches and resolving conflicts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of prototypes to one project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Flippers can now be drawn and controlled in terms of left/right flippers using “Q” and “E” keys. No animation, just redraw.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Absorbers now absorbing from all sides and drawing on the board following width and height in View, x1, y1 and x2, y2 in Model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Tidying up of local projects (deleting unnecessary 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with the refactoring and merging of the prototypes.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Collisions working on flippers in activated and deactivated states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Perfect gravity/friction calculations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absorber working following the official specs and added in main project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Loaded board can be used to play and see collisions (hopefully with absorbers too)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Separation and switching between Build Mode and Play Mode complete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Commits on the several branches: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David branch:</w:t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90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Greig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0193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Chris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5367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Thomas 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493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4.png"/><Relationship Id="rId8" Type="http://schemas.openxmlformats.org/officeDocument/2006/relationships/image" Target="media/image06.png"/></Relationships>
</file>