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Calibri" w:hAnsi="Calibri"/>
          <w:b/>
          <w:i w:val="0"/>
          <w:color w:val="0F5C8C"/>
          <w:sz w:val="22"/>
        </w:rPr>
        <w:t>CONFERENCE PAPER PLAN  01 / 5  —  REBUILT</w:t>
      </w:r>
    </w:p>
    <w:p>
      <w:pPr>
        <w:spacing w:after="160" w:line="276" w:lineRule="auto"/>
        <w:jc w:val="center"/>
      </w:pPr>
      <w:r>
        <w:rPr>
          <w:rFonts w:ascii="Calibri" w:hAnsi="Calibri"/>
          <w:b/>
          <w:i w:val="0"/>
          <w:color w:val="1B3A5F"/>
          <w:sz w:val="24"/>
        </w:rPr>
        <w:t>ICAIIT 2027  |  Koethen, Germany</w:t>
      </w:r>
    </w:p>
    <w:p>
      <w:pPr>
        <w:spacing w:after="160" w:line="276" w:lineRule="auto"/>
        <w:jc w:val="center"/>
      </w:pPr>
      <w:r>
        <w:rPr>
          <w:rFonts w:ascii="Calibri" w:hAnsi="Calibri"/>
          <w:b/>
          <w:i w:val="0"/>
          <w:color w:val="1B3A5F"/>
          <w:sz w:val="36"/>
        </w:rPr>
        <w:t>A Risk-Tiered Language Model Agent for Small Business Workflow Automation with Validated Tool Calls</w:t>
      </w:r>
    </w:p>
    <w:p>
      <w:pPr>
        <w:spacing w:after="160" w:line="276" w:lineRule="auto"/>
        <w:jc w:val="center"/>
      </w:pPr>
      <w:r>
        <w:rPr>
          <w:rFonts w:ascii="Calibri" w:hAnsi="Calibri"/>
          <w:b w:val="0"/>
          <w:i/>
          <w:color w:val="444444"/>
          <w:sz w:val="24"/>
        </w:rPr>
        <w:t>Track 8 Digital Economy and Business Informatics  |  also Track 4 AI/ML and Track 5 Control/Automation</w:t>
      </w:r>
    </w:p>
    <w:p>
      <w:pPr>
        <w:spacing w:after="160" w:line="276" w:lineRule="auto"/>
        <w:jc w:val="center"/>
      </w:pPr>
      <w:r>
        <w:rPr>
          <w:rFonts w:ascii="Calibri" w:hAnsi="Calibri"/>
          <w:b w:val="0"/>
          <w:i w:val="0"/>
          <w:color w:val="222222"/>
          <w:sz w:val="20"/>
        </w:rPr>
        <w:t>Asher Mehfooz  |  18 September 2026  |  NLP / LLM / RAG / business automation  |  Background used as capability, not as the paper topic</w:t>
      </w:r>
    </w:p>
    <w:p>
      <w:pPr>
        <w:spacing w:after="160" w:line="276" w:lineRule="auto"/>
        <w:jc w:val="center"/>
      </w:pPr>
      <w:r>
        <w:rPr>
          <w:rFonts w:ascii="Calibri" w:hAnsi="Calibri"/>
          <w:b/>
          <w:i w:val="0"/>
          <w:color w:val="8B1E1E"/>
          <w:sz w:val="22"/>
        </w:rPr>
        <w:t>This is NOT the tutoring thesis, NOT student citations, NOT a CV dump. It is a new agent paper you can build with FastAPI, LangChain, and tool-calling LLMs.</w:t>
      </w:r>
    </w:p>
    <w:p>
      <w:pPr>
        <w:spacing w:before="280" w:after="120"/>
        <w:pBdr>
          <w:bottom w:val="single" w:sz="12" w:space="4" w:color="1B3A5F"/>
        </w:pBdr>
      </w:pPr>
      <w:r>
        <w:rPr>
          <w:rFonts w:ascii="Calibri" w:hAnsi="Calibri"/>
          <w:b/>
          <w:i w:val="0"/>
          <w:color w:val="1B3A5F"/>
          <w:sz w:val="32"/>
        </w:rPr>
        <w:t>1. Conference Fit (verified)</w:t>
      </w:r>
    </w:p>
    <w:tbl>
      <w:tblPr>
        <w:tblW w:type="auto" w:w="0"/>
        <w:jc w:val="center"/>
        <w:tblLook w:firstColumn="1" w:firstRow="1" w:lastColumn="0" w:lastRow="0" w:noHBand="0" w:noVBand="1" w:val="04A0"/>
      </w:tblPr>
      <w:tblGrid>
        <w:gridCol w:w="4873"/>
        <w:gridCol w:w="4873"/>
      </w:tblGrid>
      <w:tr>
        <w:tc>
          <w:tcPr>
            <w:tcW w:type="dxa" w:w="2948"/>
            <w:shd w:fill="1B3A5F" w:val="clear"/>
          </w:tcPr>
          <w:p>
            <w:r/>
            <w:r>
              <w:rPr>
                <w:rFonts w:ascii="Calibri" w:hAnsi="Calibri"/>
                <w:b/>
                <w:i w:val="0"/>
                <w:color w:val="FFFFFF"/>
                <w:sz w:val="20"/>
              </w:rPr>
              <w:t>Item</w:t>
            </w:r>
          </w:p>
        </w:tc>
        <w:tc>
          <w:tcPr>
            <w:tcW w:type="dxa" w:w="6520"/>
            <w:shd w:fill="1B3A5F" w:val="clear"/>
          </w:tcPr>
          <w:p>
            <w:r/>
            <w:r>
              <w:rPr>
                <w:rFonts w:ascii="Calibri" w:hAnsi="Calibri"/>
                <w:b/>
                <w:i w:val="0"/>
                <w:color w:val="FFFFFF"/>
                <w:sz w:val="20"/>
              </w:rPr>
              <w:t>Verified ICAIIT 2027 rule</w:t>
            </w:r>
          </w:p>
        </w:tc>
      </w:tr>
      <w:tr>
        <w:tc>
          <w:tcPr>
            <w:tcW w:type="dxa" w:w="2948"/>
            <w:shd w:fill="F7F9FB" w:val="clear"/>
          </w:tcPr>
          <w:p>
            <w:r/>
            <w:r>
              <w:rPr>
                <w:rFonts w:ascii="Calibri" w:hAnsi="Calibri"/>
                <w:b/>
                <w:i w:val="0"/>
                <w:color w:val="1B3A5F"/>
                <w:sz w:val="20"/>
              </w:rPr>
              <w:t>Conference</w:t>
            </w:r>
          </w:p>
        </w:tc>
        <w:tc>
          <w:tcPr>
            <w:tcW w:type="dxa" w:w="6520"/>
            <w:shd w:fill="FFFFFF" w:val="clear"/>
          </w:tcPr>
          <w:p>
            <w:r/>
            <w:r>
              <w:rPr>
                <w:rFonts w:ascii="Calibri" w:hAnsi="Calibri"/>
                <w:b w:val="0"/>
                <w:i w:val="0"/>
                <w:color w:val="222222"/>
                <w:sz w:val="20"/>
              </w:rPr>
              <w:t>15th ICAIIT, Anhalt University of Applied Sciences, Koethen, 11 March 2027, in-person</w:t>
            </w:r>
          </w:p>
        </w:tc>
      </w:tr>
      <w:tr>
        <w:tc>
          <w:tcPr>
            <w:tcW w:type="dxa" w:w="2948"/>
            <w:shd w:fill="E8EEF4" w:val="clear"/>
          </w:tcPr>
          <w:p>
            <w:r/>
            <w:r>
              <w:rPr>
                <w:rFonts w:ascii="Calibri" w:hAnsi="Calibri"/>
                <w:b/>
                <w:i w:val="0"/>
                <w:color w:val="1B3A5F"/>
                <w:sz w:val="20"/>
              </w:rPr>
              <w:t>Window</w:t>
            </w:r>
          </w:p>
        </w:tc>
        <w:tc>
          <w:tcPr>
            <w:tcW w:type="dxa" w:w="6520"/>
            <w:shd w:fill="F7F9FB" w:val="clear"/>
          </w:tcPr>
          <w:p>
            <w:r/>
            <w:r>
              <w:rPr>
                <w:rFonts w:ascii="Calibri" w:hAnsi="Calibri"/>
                <w:b w:val="0"/>
                <w:i w:val="0"/>
                <w:color w:val="222222"/>
                <w:sz w:val="20"/>
              </w:rPr>
              <w:t>Submissions open 1 November 2026  |  Deadline 10 January 2027</w:t>
            </w:r>
          </w:p>
        </w:tc>
      </w:tr>
      <w:tr>
        <w:tc>
          <w:tcPr>
            <w:tcW w:type="dxa" w:w="2948"/>
            <w:shd w:fill="F7F9FB" w:val="clear"/>
          </w:tcPr>
          <w:p>
            <w:r/>
            <w:r>
              <w:rPr>
                <w:rFonts w:ascii="Calibri" w:hAnsi="Calibri"/>
                <w:b/>
                <w:i w:val="0"/>
                <w:color w:val="1B3A5F"/>
                <w:sz w:val="20"/>
              </w:rPr>
              <w:t>Track for this paper</w:t>
            </w:r>
          </w:p>
        </w:tc>
        <w:tc>
          <w:tcPr>
            <w:tcW w:type="dxa" w:w="6520"/>
            <w:shd w:fill="FFFFFF" w:val="clear"/>
          </w:tcPr>
          <w:p>
            <w:r/>
            <w:r>
              <w:rPr>
                <w:rFonts w:ascii="Calibri" w:hAnsi="Calibri"/>
                <w:b w:val="0"/>
                <w:i w:val="0"/>
                <w:color w:val="222222"/>
                <w:sz w:val="20"/>
              </w:rPr>
              <w:t>8. Digital Economy, Business Informatics and Information Systems</w:t>
            </w:r>
          </w:p>
        </w:tc>
      </w:tr>
      <w:tr>
        <w:tc>
          <w:tcPr>
            <w:tcW w:type="dxa" w:w="2948"/>
            <w:shd w:fill="E8EEF4" w:val="clear"/>
          </w:tcPr>
          <w:p>
            <w:r/>
            <w:r>
              <w:rPr>
                <w:rFonts w:ascii="Calibri" w:hAnsi="Calibri"/>
                <w:b/>
                <w:i w:val="0"/>
                <w:color w:val="1B3A5F"/>
                <w:sz w:val="20"/>
              </w:rPr>
              <w:t>Length</w:t>
            </w:r>
          </w:p>
        </w:tc>
        <w:tc>
          <w:tcPr>
            <w:tcW w:type="dxa" w:w="6520"/>
            <w:shd w:fill="F7F9FB" w:val="clear"/>
          </w:tcPr>
          <w:p>
            <w:r/>
            <w:r>
              <w:rPr>
                <w:rFonts w:ascii="Calibri" w:hAnsi="Calibri"/>
                <w:b w:val="0"/>
                <w:i w:val="0"/>
                <w:color w:val="222222"/>
                <w:sz w:val="20"/>
              </w:rPr>
              <w:t>5 to 7 pages in Template2026_Word.docx. Under 5 pages auto-rejected.</w:t>
            </w:r>
          </w:p>
        </w:tc>
      </w:tr>
      <w:tr>
        <w:tc>
          <w:tcPr>
            <w:tcW w:type="dxa" w:w="2948"/>
            <w:shd w:fill="F7F9FB" w:val="clear"/>
          </w:tcPr>
          <w:p>
            <w:r/>
            <w:r>
              <w:rPr>
                <w:rFonts w:ascii="Calibri" w:hAnsi="Calibri"/>
                <w:b/>
                <w:i w:val="0"/>
                <w:color w:val="1B3A5F"/>
                <w:sz w:val="20"/>
              </w:rPr>
              <w:t>Review</w:t>
            </w:r>
          </w:p>
        </w:tc>
        <w:tc>
          <w:tcPr>
            <w:tcW w:type="dxa" w:w="6520"/>
            <w:shd w:fill="FFFFFF" w:val="clear"/>
          </w:tcPr>
          <w:p>
            <w:r/>
            <w:r>
              <w:rPr>
                <w:rFonts w:ascii="Calibri" w:hAnsi="Calibri"/>
                <w:b w:val="0"/>
                <w:i w:val="0"/>
                <w:color w:val="222222"/>
                <w:sz w:val="20"/>
              </w:rPr>
              <w:t>Double-blind. Similarity above 20% can be rejected. IEEE refs, at least 10. Self-cite max 10%.</w:t>
            </w:r>
          </w:p>
        </w:tc>
      </w:tr>
      <w:tr>
        <w:tc>
          <w:tcPr>
            <w:tcW w:type="dxa" w:w="2948"/>
            <w:shd w:fill="E8EEF4" w:val="clear"/>
          </w:tcPr>
          <w:p>
            <w:r/>
            <w:r>
              <w:rPr>
                <w:rFonts w:ascii="Calibri" w:hAnsi="Calibri"/>
                <w:b/>
                <w:i w:val="0"/>
                <w:color w:val="1B3A5F"/>
                <w:sz w:val="20"/>
              </w:rPr>
              <w:t>Abstract / keywords</w:t>
            </w:r>
          </w:p>
        </w:tc>
        <w:tc>
          <w:tcPr>
            <w:tcW w:type="dxa" w:w="6520"/>
            <w:shd w:fill="F7F9FB" w:val="clear"/>
          </w:tcPr>
          <w:p>
            <w:r/>
            <w:r>
              <w:rPr>
                <w:rFonts w:ascii="Calibri" w:hAnsi="Calibri"/>
                <w:b w:val="0"/>
                <w:i w:val="0"/>
                <w:color w:val="222222"/>
                <w:sz w:val="20"/>
              </w:rPr>
              <w:t>150-300 words. At least 4 capitalised keywords. Title: capitalise significant words, no formulas.</w:t>
            </w:r>
          </w:p>
        </w:tc>
      </w:tr>
      <w:tr>
        <w:tc>
          <w:tcPr>
            <w:tcW w:type="dxa" w:w="2948"/>
            <w:shd w:fill="F7F9FB" w:val="clear"/>
          </w:tcPr>
          <w:p>
            <w:r/>
            <w:r>
              <w:rPr>
                <w:rFonts w:ascii="Calibri" w:hAnsi="Calibri"/>
                <w:b/>
                <w:i w:val="0"/>
                <w:color w:val="1B3A5F"/>
                <w:sz w:val="20"/>
              </w:rPr>
              <w:t>Author cap</w:t>
            </w:r>
          </w:p>
        </w:tc>
        <w:tc>
          <w:tcPr>
            <w:tcW w:type="dxa" w:w="6520"/>
            <w:shd w:fill="FFFFFF" w:val="clear"/>
          </w:tcPr>
          <w:p>
            <w:r/>
            <w:r>
              <w:rPr>
                <w:rFonts w:ascii="Calibri" w:hAnsi="Calibri"/>
                <w:b w:val="0"/>
                <w:i w:val="0"/>
                <w:color w:val="222222"/>
                <w:sz w:val="20"/>
              </w:rPr>
              <w:t>Maximum 4 papers per author. This rebuild uses 3 ICAIIT papers: legal.</w:t>
            </w:r>
          </w:p>
        </w:tc>
      </w:tr>
      <w:tr>
        <w:tc>
          <w:tcPr>
            <w:tcW w:type="dxa" w:w="2948"/>
            <w:shd w:fill="E8EEF4" w:val="clear"/>
          </w:tcPr>
          <w:p>
            <w:r/>
            <w:r>
              <w:rPr>
                <w:rFonts w:ascii="Calibri" w:hAnsi="Calibri"/>
                <w:b/>
                <w:i w:val="0"/>
                <w:color w:val="1B3A5F"/>
                <w:sz w:val="20"/>
              </w:rPr>
              <w:t>Indexing</w:t>
            </w:r>
          </w:p>
        </w:tc>
        <w:tc>
          <w:tcPr>
            <w:tcW w:type="dxa" w:w="6520"/>
            <w:shd w:fill="F7F9FB" w:val="clear"/>
          </w:tcPr>
          <w:p>
            <w:r/>
            <w:r>
              <w:rPr>
                <w:rFonts w:ascii="Calibri" w:hAnsi="Calibri"/>
                <w:b w:val="0"/>
                <w:i w:val="0"/>
                <w:color w:val="222222"/>
                <w:sz w:val="20"/>
              </w:rPr>
              <w:t>ISSN 2199-8876. Scopus coverage on SCImago 2018-2024 (SJR 2024 = 0.294). 2027 volume expected, not guaranteed until released.</w:t>
            </w:r>
          </w:p>
        </w:tc>
      </w:tr>
      <w:tr>
        <w:tc>
          <w:tcPr>
            <w:tcW w:type="dxa" w:w="2948"/>
            <w:shd w:fill="F7F9FB" w:val="clear"/>
          </w:tcPr>
          <w:p>
            <w:r/>
            <w:r>
              <w:rPr>
                <w:rFonts w:ascii="Calibri" w:hAnsi="Calibri"/>
                <w:b/>
                <w:i w:val="0"/>
                <w:color w:val="1B3A5F"/>
                <w:sz w:val="20"/>
              </w:rPr>
              <w:t>Fee</w:t>
            </w:r>
          </w:p>
        </w:tc>
        <w:tc>
          <w:tcPr>
            <w:tcW w:type="dxa" w:w="6520"/>
            <w:shd w:fill="FFFFFF" w:val="clear"/>
          </w:tcPr>
          <w:p>
            <w:r/>
            <w:r>
              <w:rPr>
                <w:rFonts w:ascii="Calibri" w:hAnsi="Calibri"/>
                <w:b w:val="0"/>
                <w:i w:val="0"/>
                <w:color w:val="222222"/>
                <w:sz w:val="20"/>
              </w:rPr>
              <w:t>EUR 120 up to 7 pages</w:t>
            </w:r>
          </w:p>
        </w:tc>
      </w:tr>
      <w:tr>
        <w:tc>
          <w:tcPr>
            <w:tcW w:type="dxa" w:w="2948"/>
            <w:shd w:fill="E8EEF4" w:val="clear"/>
          </w:tcPr>
          <w:p>
            <w:r/>
            <w:r>
              <w:rPr>
                <w:rFonts w:ascii="Calibri" w:hAnsi="Calibri"/>
                <w:b/>
                <w:i w:val="0"/>
                <w:color w:val="1B3A5F"/>
                <w:sz w:val="20"/>
              </w:rPr>
              <w:t>Why this venue</w:t>
            </w:r>
          </w:p>
        </w:tc>
        <w:tc>
          <w:tcPr>
            <w:tcW w:type="dxa" w:w="6520"/>
            <w:shd w:fill="F7F9FB" w:val="clear"/>
          </w:tcPr>
          <w:p>
            <w:r/>
            <w:r>
              <w:rPr>
                <w:rFonts w:ascii="Calibri" w:hAnsi="Calibri"/>
                <w:b w:val="0"/>
                <w:i w:val="0"/>
                <w:color w:val="222222"/>
                <w:sz w:val="20"/>
              </w:rPr>
              <w:t>Open January deadline, applied IT, explicit tracks for AI and digital economy. Not CORE A. Realistic first indexed papers.</w:t>
            </w:r>
          </w:p>
        </w:tc>
      </w:tr>
    </w:tbl>
    <w:p>
      <w:pPr>
        <w:spacing w:after="80"/>
      </w:pPr>
    </w:p>
    <w:p>
      <w:pPr>
        <w:spacing w:after="160" w:line="276" w:lineRule="auto"/>
        <w:jc w:val="both"/>
      </w:pPr>
      <w:r>
        <w:rPr>
          <w:rFonts w:ascii="Calibri" w:hAnsi="Calibri"/>
          <w:b w:val="0"/>
          <w:i w:val="0"/>
          <w:color w:val="222222"/>
          <w:sz w:val="22"/>
        </w:rPr>
        <w:t>ICAIIT requires an IT method as a substantive part of the work. An LLM agent that proposes API tool calls, a validator that accepts or blocks them, and a measured error rate is in scope. A management essay with no system is not.</w:t>
      </w:r>
    </w:p>
    <w:p>
      <w:pPr>
        <w:spacing w:before="280" w:after="120"/>
        <w:pBdr>
          <w:bottom w:val="single" w:sz="12" w:space="4" w:color="1B3A5F"/>
        </w:pBdr>
      </w:pPr>
      <w:r>
        <w:rPr>
          <w:rFonts w:ascii="Calibri" w:hAnsi="Calibri"/>
          <w:b/>
          <w:i w:val="0"/>
          <w:color w:val="1B3A5F"/>
          <w:sz w:val="32"/>
        </w:rPr>
        <w:t>2. Problem</w:t>
      </w:r>
    </w:p>
    <w:p>
      <w:pPr>
        <w:spacing w:after="160" w:line="276" w:lineRule="auto"/>
        <w:jc w:val="both"/>
      </w:pPr>
      <w:r>
        <w:rPr>
          <w:rFonts w:ascii="Calibri" w:hAnsi="Calibri"/>
          <w:b w:val="0"/>
          <w:i w:val="0"/>
          <w:color w:val="222222"/>
          <w:sz w:val="22"/>
        </w:rPr>
        <w:t>Small businesses want language-model agents to reset orders, draft refunds, update CRM fields, and answer from policy. Demos look fine until the model invents a tool, calls refund_customer with the wrong ID, or sends an email that was never approved. The scientific object is not a smarter chatbot. It is a planner that is not allowed to touch records until deterministic code has checked the call.</w:t>
      </w:r>
    </w:p>
    <w:p>
      <w:pPr>
        <w:spacing w:before="280" w:after="120"/>
        <w:pBdr>
          <w:bottom w:val="single" w:sz="12" w:space="4" w:color="1B3A5F"/>
        </w:pBdr>
      </w:pPr>
      <w:r>
        <w:rPr>
          <w:rFonts w:ascii="Calibri" w:hAnsi="Calibri"/>
          <w:b/>
          <w:i w:val="0"/>
          <w:color w:val="1B3A5F"/>
          <w:sz w:val="32"/>
        </w:rPr>
        <w:t>3. Existing work (do not claim empty field)</w:t>
      </w:r>
    </w:p>
    <w:p>
      <w:pPr>
        <w:pStyle w:val="ListBullet"/>
        <w:spacing w:after="60"/>
        <w:ind w:left="567"/>
      </w:pPr>
      <w:r>
        <w:rPr>
          <w:rFonts w:ascii="Calibri" w:hAnsi="Calibri"/>
          <w:b w:val="0"/>
          <w:i w:val="0"/>
          <w:color w:val="222222"/>
          <w:sz w:val="22"/>
        </w:rPr>
        <w:t>Generic agent stacks (LangChain, AutoGen, OpenAI tool calling): they execute what the model emits. Tool hallucination is documented (fabricated tools, bad parameters, misread outputs).</w:t>
      </w:r>
    </w:p>
    <w:p>
      <w:pPr>
        <w:pStyle w:val="ListBullet"/>
        <w:spacing w:after="60"/>
        <w:ind w:left="567"/>
      </w:pPr>
      <w:r>
        <w:rPr>
          <w:rFonts w:ascii="Calibri" w:hAnsi="Calibri"/>
          <w:b w:val="0"/>
          <w:i w:val="0"/>
          <w:color w:val="222222"/>
          <w:sz w:val="22"/>
        </w:rPr>
        <w:t>POLARIS (2026): typed planning and governed execution for enterprise back-office automation. Strong but heavy; aimed at regulated back offices, not a 7-page SME bake-off.</w:t>
      </w:r>
    </w:p>
    <w:p>
      <w:pPr>
        <w:pStyle w:val="ListBullet"/>
        <w:spacing w:after="60"/>
        <w:ind w:left="567"/>
      </w:pPr>
      <w:r>
        <w:rPr>
          <w:rFonts w:ascii="Calibri" w:hAnsi="Calibri"/>
          <w:b w:val="0"/>
          <w:i w:val="0"/>
          <w:color w:val="222222"/>
          <w:sz w:val="22"/>
        </w:rPr>
        <w:t>FinRobot and SOP agents: map intents to ERP steps with some HITL. Little public measurement of illegal tool-call rate on SME-scale APIs.</w:t>
      </w:r>
    </w:p>
    <w:p>
      <w:pPr>
        <w:pStyle w:val="ListBullet"/>
        <w:spacing w:after="60"/>
        <w:ind w:left="567"/>
      </w:pPr>
      <w:r>
        <w:rPr>
          <w:rFonts w:ascii="Calibri" w:hAnsi="Calibri"/>
          <w:b w:val="0"/>
          <w:i w:val="0"/>
          <w:color w:val="222222"/>
          <w:sz w:val="22"/>
        </w:rPr>
        <w:t>Industry HITL queues: humans rubber-stamp under approval fatigue. A checkbox is not a validator.</w:t>
      </w:r>
    </w:p>
    <w:p>
      <w:pPr>
        <w:pStyle w:val="ListBullet"/>
        <w:spacing w:after="60"/>
        <w:ind w:left="567"/>
      </w:pPr>
      <w:r>
        <w:rPr>
          <w:rFonts w:ascii="Calibri" w:hAnsi="Calibri"/>
          <w:b w:val="0"/>
          <w:i w:val="0"/>
          <w:color w:val="222222"/>
          <w:sz w:val="22"/>
        </w:rPr>
        <w:t>Your production LLM experience is capability (you can ship an agent). It is not the related-work claim.</w:t>
      </w:r>
    </w:p>
    <w:p>
      <w:pPr>
        <w:spacing w:after="160" w:line="276" w:lineRule="auto"/>
        <w:jc w:val="both"/>
      </w:pPr>
      <w:r>
        <w:rPr>
          <w:rFonts w:ascii="Calibri" w:hAnsi="Calibri"/>
          <w:b w:val="0"/>
          <w:i w:val="0"/>
          <w:color w:val="222222"/>
          <w:sz w:val="22"/>
        </w:rPr>
        <w:t>GAP: There is still no small, reproducible SME agent that (1) never executes a model-emitted call directly, (2) splits actions into auto / confirm / refuse by risk tier, and (3) reports illegal-call rate, wrong-argument rate, and approval-fatigue proxies on a public fake-store API. POLARIS is the closest architecture paper; it is not this evaluation.</w:t>
      </w:r>
    </w:p>
    <w:p>
      <w:pPr>
        <w:spacing w:before="280" w:after="120"/>
        <w:pBdr>
          <w:bottom w:val="single" w:sz="12" w:space="4" w:color="1B3A5F"/>
        </w:pBdr>
      </w:pPr>
      <w:r>
        <w:rPr>
          <w:rFonts w:ascii="Calibri" w:hAnsi="Calibri"/>
          <w:b/>
          <w:i w:val="0"/>
          <w:color w:val="1B3A5F"/>
          <w:sz w:val="32"/>
        </w:rPr>
        <w:t>4. Proposal</w:t>
      </w:r>
    </w:p>
    <w:p>
      <w:pPr>
        <w:pStyle w:val="ListNumber"/>
        <w:spacing w:after="60"/>
        <w:ind w:left="567"/>
      </w:pPr>
      <w:r>
        <w:rPr>
          <w:rFonts w:ascii="Calibri" w:hAnsi="Calibri"/>
          <w:b w:val="0"/>
          <w:i w:val="0"/>
          <w:color w:val="222222"/>
          <w:sz w:val="22"/>
        </w:rPr>
        <w:t>Build a tiny business API: create_order, cancel_order, refund, update_crm_note, send_customer_email. Public synthetic data, not a client CRM.</w:t>
      </w:r>
    </w:p>
    <w:p>
      <w:pPr>
        <w:pStyle w:val="ListNumber"/>
        <w:spacing w:after="60"/>
        <w:ind w:left="567"/>
      </w:pPr>
      <w:r>
        <w:rPr>
          <w:rFonts w:ascii="Calibri" w:hAnsi="Calibri"/>
          <w:b w:val="0"/>
          <w:i w:val="0"/>
          <w:color w:val="222222"/>
          <w:sz w:val="22"/>
        </w:rPr>
        <w:t>LLM is an untrusted planner: it may only emit JSON {tool, args, evidence_span}. Server-side schema + policy checks run first.</w:t>
      </w:r>
    </w:p>
    <w:p>
      <w:pPr>
        <w:pStyle w:val="ListNumber"/>
        <w:spacing w:after="60"/>
        <w:ind w:left="567"/>
      </w:pPr>
      <w:r>
        <w:rPr>
          <w:rFonts w:ascii="Calibri" w:hAnsi="Calibri"/>
          <w:b w:val="0"/>
          <w:i w:val="0"/>
          <w:color w:val="222222"/>
          <w:sz w:val="22"/>
        </w:rPr>
        <w:t>Risk tiers: read-only auto; updates need one-click confirm with a diff; money/email need typed reason. Log every transition.</w:t>
      </w:r>
    </w:p>
    <w:p>
      <w:pPr>
        <w:pStyle w:val="ListNumber"/>
        <w:spacing w:after="60"/>
        <w:ind w:left="567"/>
      </w:pPr>
      <w:r>
        <w:rPr>
          <w:rFonts w:ascii="Calibri" w:hAnsi="Calibri"/>
          <w:b w:val="0"/>
          <w:i w:val="0"/>
          <w:color w:val="222222"/>
          <w:sz w:val="22"/>
        </w:rPr>
        <w:t>Baselines: unconstrained tool-calling agent vs validator-gated agent vs validator + risk tiers.</w:t>
      </w:r>
    </w:p>
    <w:p>
      <w:pPr>
        <w:pStyle w:val="ListNumber"/>
        <w:spacing w:after="60"/>
        <w:ind w:left="567"/>
      </w:pPr>
      <w:r>
        <w:rPr>
          <w:rFonts w:ascii="Calibri" w:hAnsi="Calibri"/>
          <w:b w:val="0"/>
          <w:i w:val="0"/>
          <w:color w:val="222222"/>
          <w:sz w:val="22"/>
        </w:rPr>
        <w:t>Metrics: illegal tool name, schema-invalid args, policy-blocked (correct vs overblock), executed-but-wrong, human-approval time, a fatigue proxy (approvals after item 20).</w:t>
      </w:r>
    </w:p>
    <w:p>
      <w:pPr>
        <w:pStyle w:val="ListNumber"/>
        <w:spacing w:after="60"/>
        <w:ind w:left="567"/>
      </w:pPr>
      <w:r>
        <w:rPr>
          <w:rFonts w:ascii="Calibri" w:hAnsi="Calibri"/>
          <w:b w:val="0"/>
          <w:i w:val="0"/>
          <w:color w:val="222222"/>
          <w:sz w:val="22"/>
        </w:rPr>
        <w:t>N: 80-120 scripted tickets (refund, cancel, wrong-item, policy-not-found). Enough for 7 pages.</w:t>
      </w:r>
    </w:p>
    <w:p>
      <w:pPr>
        <w:spacing w:before="280" w:after="120"/>
        <w:pBdr>
          <w:bottom w:val="single" w:sz="12" w:space="4" w:color="1B3A5F"/>
        </w:pBdr>
      </w:pPr>
      <w:r>
        <w:rPr>
          <w:rFonts w:ascii="Calibri" w:hAnsi="Calibri"/>
          <w:b/>
          <w:i w:val="0"/>
          <w:color w:val="1B3A5F"/>
          <w:sz w:val="32"/>
        </w:rPr>
        <w:t>5. Novelty</w:t>
      </w:r>
    </w:p>
    <w:p>
      <w:pPr>
        <w:spacing w:after="160" w:line="276" w:lineRule="auto"/>
        <w:jc w:val="both"/>
      </w:pPr>
      <w:r>
        <w:rPr>
          <w:rFonts w:ascii="Calibri" w:hAnsi="Calibri"/>
          <w:b w:val="0"/>
          <w:i w:val="0"/>
          <w:color w:val="222222"/>
          <w:sz w:val="22"/>
        </w:rPr>
        <w:t>Implementation novelty: a risk-tiered, validator-first SME agent plus a public ticket set that measures illegal tool calls rather than chat quality. We do not claim the first enterprise agent, and we do not claim to beat POLARIS on regulated ERP.</w:t>
      </w:r>
    </w:p>
    <w:p>
      <w:pPr>
        <w:spacing w:before="280" w:after="120"/>
        <w:pBdr>
          <w:bottom w:val="single" w:sz="12" w:space="4" w:color="1B3A5F"/>
        </w:pBdr>
      </w:pPr>
      <w:r>
        <w:rPr>
          <w:rFonts w:ascii="Calibri" w:hAnsi="Calibri"/>
          <w:b/>
          <w:i w:val="0"/>
          <w:color w:val="1B3A5F"/>
          <w:sz w:val="32"/>
        </w:rPr>
        <w:t>6. ICAIIT skeleton</w:t>
      </w:r>
    </w:p>
    <w:p>
      <w:pPr>
        <w:pStyle w:val="ListNumber"/>
        <w:spacing w:after="60"/>
        <w:ind w:left="567"/>
      </w:pPr>
      <w:r>
        <w:rPr>
          <w:rFonts w:ascii="Calibri" w:hAnsi="Calibri"/>
          <w:b w:val="0"/>
          <w:i w:val="0"/>
          <w:color w:val="222222"/>
          <w:sz w:val="22"/>
        </w:rPr>
        <w:t>Introduction — automation failure is a bad tool call, not a bad paragraph.</w:t>
      </w:r>
    </w:p>
    <w:p>
      <w:pPr>
        <w:pStyle w:val="ListNumber"/>
        <w:spacing w:after="60"/>
        <w:ind w:left="567"/>
      </w:pPr>
      <w:r>
        <w:rPr>
          <w:rFonts w:ascii="Calibri" w:hAnsi="Calibri"/>
          <w:b w:val="0"/>
          <w:i w:val="0"/>
          <w:color w:val="222222"/>
          <w:sz w:val="22"/>
        </w:rPr>
        <w:t>Related Work — agents, tool hallucination, HITL fatigue, POLARIS. Comparison table.</w:t>
      </w:r>
    </w:p>
    <w:p>
      <w:pPr>
        <w:pStyle w:val="ListNumber"/>
        <w:spacing w:after="60"/>
        <w:ind w:left="567"/>
      </w:pPr>
      <w:r>
        <w:rPr>
          <w:rFonts w:ascii="Calibri" w:hAnsi="Calibri"/>
          <w:b w:val="0"/>
          <w:i w:val="0"/>
          <w:color w:val="222222"/>
          <w:sz w:val="22"/>
        </w:rPr>
        <w:t>System — 3.1 Planner. 3.2 Validator. 3.3 Risk tiers. 3.4 Audit log.</w:t>
      </w:r>
    </w:p>
    <w:p>
      <w:pPr>
        <w:pStyle w:val="ListNumber"/>
        <w:spacing w:after="60"/>
        <w:ind w:left="567"/>
      </w:pPr>
      <w:r>
        <w:rPr>
          <w:rFonts w:ascii="Calibri" w:hAnsi="Calibri"/>
          <w:b w:val="0"/>
          <w:i w:val="0"/>
          <w:color w:val="222222"/>
          <w:sz w:val="22"/>
        </w:rPr>
        <w:t>Setup — 4.1 Fake store API. 4.2 Ticket set. 4.3 Baselines and metrics.</w:t>
      </w:r>
    </w:p>
    <w:p>
      <w:pPr>
        <w:pStyle w:val="ListNumber"/>
        <w:spacing w:after="60"/>
        <w:ind w:left="567"/>
      </w:pPr>
      <w:r>
        <w:rPr>
          <w:rFonts w:ascii="Calibri" w:hAnsi="Calibri"/>
          <w:b w:val="0"/>
          <w:i w:val="0"/>
          <w:color w:val="222222"/>
          <w:sz w:val="22"/>
        </w:rPr>
        <w:t>Results — which errors the gate actually kills; overblock cost.</w:t>
      </w:r>
    </w:p>
    <w:p>
      <w:pPr>
        <w:pStyle w:val="ListNumber"/>
        <w:spacing w:after="60"/>
        <w:ind w:left="567"/>
      </w:pPr>
      <w:r>
        <w:rPr>
          <w:rFonts w:ascii="Calibri" w:hAnsi="Calibri"/>
          <w:b w:val="0"/>
          <w:i w:val="0"/>
          <w:color w:val="222222"/>
          <w:sz w:val="22"/>
        </w:rPr>
        <w:t>Conclusions — design rule for SME agents; limits.</w:t>
      </w:r>
    </w:p>
    <w:p>
      <w:pPr>
        <w:pStyle w:val="ListNumber"/>
        <w:spacing w:after="60"/>
        <w:ind w:left="567"/>
      </w:pPr>
      <w:r>
        <w:rPr>
          <w:rFonts w:ascii="Calibri" w:hAnsi="Calibri"/>
          <w:b w:val="0"/>
          <w:i w:val="0"/>
          <w:color w:val="222222"/>
          <w:sz w:val="22"/>
        </w:rPr>
        <w:t>References — IEEE, 10+.</w:t>
      </w:r>
    </w:p>
    <w:p>
      <w:pPr>
        <w:spacing w:before="280" w:after="120"/>
        <w:pBdr>
          <w:bottom w:val="single" w:sz="12" w:space="4" w:color="1B3A5F"/>
        </w:pBdr>
      </w:pPr>
      <w:r>
        <w:rPr>
          <w:rFonts w:ascii="Calibri" w:hAnsi="Calibri"/>
          <w:b/>
          <w:i w:val="0"/>
          <w:color w:val="1B3A5F"/>
          <w:sz w:val="32"/>
        </w:rPr>
        <w:t>7. Timeline</w:t>
      </w:r>
    </w:p>
    <w:p>
      <w:pPr>
        <w:spacing w:after="160" w:line="276" w:lineRule="auto"/>
        <w:jc w:val="both"/>
      </w:pPr>
      <w:r>
        <w:rPr>
          <w:rFonts w:ascii="Calibri" w:hAnsi="Calibri"/>
          <w:b w:val="0"/>
          <w:i w:val="0"/>
          <w:color w:val="222222"/>
          <w:sz w:val="22"/>
        </w:rPr>
        <w:t>Oct: fake API + 40 tickets. Nov: validator and three baselines. Dec: write in ICAIIT template. Submit by 10 January 2027.</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444444"/>
        <w:sz w:val="16"/>
      </w:rPr>
      <w:t>Paper 1 rebuilt  |  LLM agents for business automation  |  Not the 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