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Calibri" w:hAnsi="Calibri"/>
          <w:b/>
          <w:i w:val="0"/>
          <w:color w:val="0F5C8C"/>
          <w:sz w:val="22"/>
        </w:rPr>
        <w:t>CONFERENCE PAPER PLAN  02 / 5  —  REBUILT</w:t>
      </w:r>
    </w:p>
    <w:p>
      <w:pPr>
        <w:spacing w:after="160" w:line="276" w:lineRule="auto"/>
        <w:jc w:val="center"/>
      </w:pPr>
      <w:r>
        <w:rPr>
          <w:rFonts w:ascii="Calibri" w:hAnsi="Calibri"/>
          <w:b/>
          <w:i w:val="0"/>
          <w:color w:val="1B3A5F"/>
          <w:sz w:val="24"/>
        </w:rPr>
        <w:t>ICAIIT 2027  |  Koethen, Germany</w:t>
      </w:r>
    </w:p>
    <w:p>
      <w:pPr>
        <w:spacing w:after="160" w:line="276" w:lineRule="auto"/>
        <w:jc w:val="center"/>
      </w:pPr>
      <w:r>
        <w:rPr>
          <w:rFonts w:ascii="Calibri" w:hAnsi="Calibri"/>
          <w:b/>
          <w:i w:val="0"/>
          <w:color w:val="1B3A5F"/>
          <w:sz w:val="36"/>
        </w:rPr>
        <w:t>Retrieval-Augmented Answering over Conflicting Business Documents with Calibrated Refusal</w:t>
      </w:r>
    </w:p>
    <w:p>
      <w:pPr>
        <w:spacing w:after="160" w:line="276" w:lineRule="auto"/>
        <w:jc w:val="center"/>
      </w:pPr>
      <w:r>
        <w:rPr>
          <w:rFonts w:ascii="Calibri" w:hAnsi="Calibri"/>
          <w:b w:val="0"/>
          <w:i/>
          <w:color w:val="444444"/>
          <w:sz w:val="24"/>
        </w:rPr>
        <w:t>Track 4: Artificial Intelligence, Machine Learning and Data Science</w:t>
      </w:r>
    </w:p>
    <w:p>
      <w:pPr>
        <w:spacing w:after="160" w:line="276" w:lineRule="auto"/>
        <w:jc w:val="center"/>
      </w:pPr>
      <w:r>
        <w:rPr>
          <w:rFonts w:ascii="Calibri" w:hAnsi="Calibri"/>
          <w:b w:val="0"/>
          <w:i w:val="0"/>
          <w:color w:val="222222"/>
          <w:sz w:val="20"/>
        </w:rPr>
        <w:t>Asher Mehfooz  |  18 September 2026  |  NLP / LLM / RAG / business automation  |  Background used as capability, not as the paper topic</w:t>
      </w:r>
    </w:p>
    <w:p>
      <w:pPr>
        <w:spacing w:after="160" w:line="276" w:lineRule="auto"/>
        <w:jc w:val="center"/>
      </w:pPr>
      <w:r>
        <w:rPr>
          <w:rFonts w:ascii="Calibri" w:hAnsi="Calibri"/>
          <w:b/>
          <w:i w:val="0"/>
          <w:color w:val="8B1E1E"/>
          <w:sz w:val="22"/>
        </w:rPr>
        <w:t>Different object from Paper 1. Paper 1 executes tools. Paper 2 answers from documents and must sometimes refuse.</w:t>
      </w:r>
    </w:p>
    <w:p>
      <w:pPr>
        <w:spacing w:before="280" w:after="120"/>
        <w:pBdr>
          <w:bottom w:val="single" w:sz="12" w:space="4" w:color="1B3A5F"/>
        </w:pBdr>
      </w:pPr>
      <w:r>
        <w:rPr>
          <w:rFonts w:ascii="Calibri" w:hAnsi="Calibri"/>
          <w:b/>
          <w:i w:val="0"/>
          <w:color w:val="1B3A5F"/>
          <w:sz w:val="32"/>
        </w:rPr>
        <w:t>1. Conference Fit</w:t>
      </w:r>
    </w:p>
    <w:tbl>
      <w:tblPr>
        <w:tblW w:type="auto" w:w="0"/>
        <w:jc w:val="center"/>
        <w:tblLook w:firstColumn="1" w:firstRow="1" w:lastColumn="0" w:lastRow="0" w:noHBand="0" w:noVBand="1" w:val="04A0"/>
      </w:tblPr>
      <w:tblGrid>
        <w:gridCol w:w="4873"/>
        <w:gridCol w:w="4873"/>
      </w:tblGrid>
      <w:tr>
        <w:tc>
          <w:tcPr>
            <w:tcW w:type="dxa" w:w="2948"/>
            <w:shd w:fill="1B3A5F" w:val="clear"/>
          </w:tcPr>
          <w:p>
            <w:r/>
            <w:r>
              <w:rPr>
                <w:rFonts w:ascii="Calibri" w:hAnsi="Calibri"/>
                <w:b/>
                <w:i w:val="0"/>
                <w:color w:val="FFFFFF"/>
                <w:sz w:val="20"/>
              </w:rPr>
              <w:t>Item</w:t>
            </w:r>
          </w:p>
        </w:tc>
        <w:tc>
          <w:tcPr>
            <w:tcW w:type="dxa" w:w="6520"/>
            <w:shd w:fill="1B3A5F" w:val="clear"/>
          </w:tcPr>
          <w:p>
            <w:r/>
            <w:r>
              <w:rPr>
                <w:rFonts w:ascii="Calibri" w:hAnsi="Calibri"/>
                <w:b/>
                <w:i w:val="0"/>
                <w:color w:val="FFFFFF"/>
                <w:sz w:val="20"/>
              </w:rPr>
              <w:t>Verified ICAIIT 2027 rule</w:t>
            </w:r>
          </w:p>
        </w:tc>
      </w:tr>
      <w:tr>
        <w:tc>
          <w:tcPr>
            <w:tcW w:type="dxa" w:w="2948"/>
            <w:shd w:fill="F7F9FB" w:val="clear"/>
          </w:tcPr>
          <w:p>
            <w:r/>
            <w:r>
              <w:rPr>
                <w:rFonts w:ascii="Calibri" w:hAnsi="Calibri"/>
                <w:b/>
                <w:i w:val="0"/>
                <w:color w:val="1B3A5F"/>
                <w:sz w:val="20"/>
              </w:rPr>
              <w:t>Conference</w:t>
            </w:r>
          </w:p>
        </w:tc>
        <w:tc>
          <w:tcPr>
            <w:tcW w:type="dxa" w:w="6520"/>
            <w:shd w:fill="FFFFFF" w:val="clear"/>
          </w:tcPr>
          <w:p>
            <w:r/>
            <w:r>
              <w:rPr>
                <w:rFonts w:ascii="Calibri" w:hAnsi="Calibri"/>
                <w:b w:val="0"/>
                <w:i w:val="0"/>
                <w:color w:val="222222"/>
                <w:sz w:val="20"/>
              </w:rPr>
              <w:t>15th ICAIIT, Anhalt University of Applied Sciences, Koethen, 11 March 2027, in-person</w:t>
            </w:r>
          </w:p>
        </w:tc>
      </w:tr>
      <w:tr>
        <w:tc>
          <w:tcPr>
            <w:tcW w:type="dxa" w:w="2948"/>
            <w:shd w:fill="E8EEF4" w:val="clear"/>
          </w:tcPr>
          <w:p>
            <w:r/>
            <w:r>
              <w:rPr>
                <w:rFonts w:ascii="Calibri" w:hAnsi="Calibri"/>
                <w:b/>
                <w:i w:val="0"/>
                <w:color w:val="1B3A5F"/>
                <w:sz w:val="20"/>
              </w:rPr>
              <w:t>Window</w:t>
            </w:r>
          </w:p>
        </w:tc>
        <w:tc>
          <w:tcPr>
            <w:tcW w:type="dxa" w:w="6520"/>
            <w:shd w:fill="F7F9FB" w:val="clear"/>
          </w:tcPr>
          <w:p>
            <w:r/>
            <w:r>
              <w:rPr>
                <w:rFonts w:ascii="Calibri" w:hAnsi="Calibri"/>
                <w:b w:val="0"/>
                <w:i w:val="0"/>
                <w:color w:val="222222"/>
                <w:sz w:val="20"/>
              </w:rPr>
              <w:t>Submissions open 1 November 2026  |  Deadline 10 January 2027</w:t>
            </w:r>
          </w:p>
        </w:tc>
      </w:tr>
      <w:tr>
        <w:tc>
          <w:tcPr>
            <w:tcW w:type="dxa" w:w="2948"/>
            <w:shd w:fill="F7F9FB" w:val="clear"/>
          </w:tcPr>
          <w:p>
            <w:r/>
            <w:r>
              <w:rPr>
                <w:rFonts w:ascii="Calibri" w:hAnsi="Calibri"/>
                <w:b/>
                <w:i w:val="0"/>
                <w:color w:val="1B3A5F"/>
                <w:sz w:val="20"/>
              </w:rPr>
              <w:t>Track for this paper</w:t>
            </w:r>
          </w:p>
        </w:tc>
        <w:tc>
          <w:tcPr>
            <w:tcW w:type="dxa" w:w="6520"/>
            <w:shd w:fill="FFFFFF" w:val="clear"/>
          </w:tcPr>
          <w:p>
            <w:r/>
            <w:r>
              <w:rPr>
                <w:rFonts w:ascii="Calibri" w:hAnsi="Calibri"/>
                <w:b w:val="0"/>
                <w:i w:val="0"/>
                <w:color w:val="222222"/>
                <w:sz w:val="20"/>
              </w:rPr>
              <w:t>4. Artificial Intelligence, Machine Learning and Data Science</w:t>
            </w:r>
          </w:p>
        </w:tc>
      </w:tr>
      <w:tr>
        <w:tc>
          <w:tcPr>
            <w:tcW w:type="dxa" w:w="2948"/>
            <w:shd w:fill="E8EEF4" w:val="clear"/>
          </w:tcPr>
          <w:p>
            <w:r/>
            <w:r>
              <w:rPr>
                <w:rFonts w:ascii="Calibri" w:hAnsi="Calibri"/>
                <w:b/>
                <w:i w:val="0"/>
                <w:color w:val="1B3A5F"/>
                <w:sz w:val="20"/>
              </w:rPr>
              <w:t>Length</w:t>
            </w:r>
          </w:p>
        </w:tc>
        <w:tc>
          <w:tcPr>
            <w:tcW w:type="dxa" w:w="6520"/>
            <w:shd w:fill="F7F9FB" w:val="clear"/>
          </w:tcPr>
          <w:p>
            <w:r/>
            <w:r>
              <w:rPr>
                <w:rFonts w:ascii="Calibri" w:hAnsi="Calibri"/>
                <w:b w:val="0"/>
                <w:i w:val="0"/>
                <w:color w:val="222222"/>
                <w:sz w:val="20"/>
              </w:rPr>
              <w:t>5 to 7 pages in Template2026_Word.docx. Under 5 pages auto-rejected.</w:t>
            </w:r>
          </w:p>
        </w:tc>
      </w:tr>
      <w:tr>
        <w:tc>
          <w:tcPr>
            <w:tcW w:type="dxa" w:w="2948"/>
            <w:shd w:fill="F7F9FB" w:val="clear"/>
          </w:tcPr>
          <w:p>
            <w:r/>
            <w:r>
              <w:rPr>
                <w:rFonts w:ascii="Calibri" w:hAnsi="Calibri"/>
                <w:b/>
                <w:i w:val="0"/>
                <w:color w:val="1B3A5F"/>
                <w:sz w:val="20"/>
              </w:rPr>
              <w:t>Review</w:t>
            </w:r>
          </w:p>
        </w:tc>
        <w:tc>
          <w:tcPr>
            <w:tcW w:type="dxa" w:w="6520"/>
            <w:shd w:fill="FFFFFF" w:val="clear"/>
          </w:tcPr>
          <w:p>
            <w:r/>
            <w:r>
              <w:rPr>
                <w:rFonts w:ascii="Calibri" w:hAnsi="Calibri"/>
                <w:b w:val="0"/>
                <w:i w:val="0"/>
                <w:color w:val="222222"/>
                <w:sz w:val="20"/>
              </w:rPr>
              <w:t>Double-blind. Similarity above 20% can be rejected. IEEE refs, at least 10. Self-cite max 10%.</w:t>
            </w:r>
          </w:p>
        </w:tc>
      </w:tr>
      <w:tr>
        <w:tc>
          <w:tcPr>
            <w:tcW w:type="dxa" w:w="2948"/>
            <w:shd w:fill="E8EEF4" w:val="clear"/>
          </w:tcPr>
          <w:p>
            <w:r/>
            <w:r>
              <w:rPr>
                <w:rFonts w:ascii="Calibri" w:hAnsi="Calibri"/>
                <w:b/>
                <w:i w:val="0"/>
                <w:color w:val="1B3A5F"/>
                <w:sz w:val="20"/>
              </w:rPr>
              <w:t>Abstract / keywords</w:t>
            </w:r>
          </w:p>
        </w:tc>
        <w:tc>
          <w:tcPr>
            <w:tcW w:type="dxa" w:w="6520"/>
            <w:shd w:fill="F7F9FB" w:val="clear"/>
          </w:tcPr>
          <w:p>
            <w:r/>
            <w:r>
              <w:rPr>
                <w:rFonts w:ascii="Calibri" w:hAnsi="Calibri"/>
                <w:b w:val="0"/>
                <w:i w:val="0"/>
                <w:color w:val="222222"/>
                <w:sz w:val="20"/>
              </w:rPr>
              <w:t>150-300 words. At least 4 capitalised keywords. Title: capitalise significant words, no formulas.</w:t>
            </w:r>
          </w:p>
        </w:tc>
      </w:tr>
      <w:tr>
        <w:tc>
          <w:tcPr>
            <w:tcW w:type="dxa" w:w="2948"/>
            <w:shd w:fill="F7F9FB" w:val="clear"/>
          </w:tcPr>
          <w:p>
            <w:r/>
            <w:r>
              <w:rPr>
                <w:rFonts w:ascii="Calibri" w:hAnsi="Calibri"/>
                <w:b/>
                <w:i w:val="0"/>
                <w:color w:val="1B3A5F"/>
                <w:sz w:val="20"/>
              </w:rPr>
              <w:t>Author cap</w:t>
            </w:r>
          </w:p>
        </w:tc>
        <w:tc>
          <w:tcPr>
            <w:tcW w:type="dxa" w:w="6520"/>
            <w:shd w:fill="FFFFFF" w:val="clear"/>
          </w:tcPr>
          <w:p>
            <w:r/>
            <w:r>
              <w:rPr>
                <w:rFonts w:ascii="Calibri" w:hAnsi="Calibri"/>
                <w:b w:val="0"/>
                <w:i w:val="0"/>
                <w:color w:val="222222"/>
                <w:sz w:val="20"/>
              </w:rPr>
              <w:t>Maximum 4 papers per author. This rebuild uses 3 ICAIIT papers: legal.</w:t>
            </w:r>
          </w:p>
        </w:tc>
      </w:tr>
      <w:tr>
        <w:tc>
          <w:tcPr>
            <w:tcW w:type="dxa" w:w="2948"/>
            <w:shd w:fill="E8EEF4" w:val="clear"/>
          </w:tcPr>
          <w:p>
            <w:r/>
            <w:r>
              <w:rPr>
                <w:rFonts w:ascii="Calibri" w:hAnsi="Calibri"/>
                <w:b/>
                <w:i w:val="0"/>
                <w:color w:val="1B3A5F"/>
                <w:sz w:val="20"/>
              </w:rPr>
              <w:t>Indexing</w:t>
            </w:r>
          </w:p>
        </w:tc>
        <w:tc>
          <w:tcPr>
            <w:tcW w:type="dxa" w:w="6520"/>
            <w:shd w:fill="F7F9FB" w:val="clear"/>
          </w:tcPr>
          <w:p>
            <w:r/>
            <w:r>
              <w:rPr>
                <w:rFonts w:ascii="Calibri" w:hAnsi="Calibri"/>
                <w:b w:val="0"/>
                <w:i w:val="0"/>
                <w:color w:val="222222"/>
                <w:sz w:val="20"/>
              </w:rPr>
              <w:t>ISSN 2199-8876. Scopus coverage on SCImago 2018-2024 (SJR 2024 = 0.294). 2027 volume expected, not guaranteed until released.</w:t>
            </w:r>
          </w:p>
        </w:tc>
      </w:tr>
      <w:tr>
        <w:tc>
          <w:tcPr>
            <w:tcW w:type="dxa" w:w="2948"/>
            <w:shd w:fill="F7F9FB" w:val="clear"/>
          </w:tcPr>
          <w:p>
            <w:r/>
            <w:r>
              <w:rPr>
                <w:rFonts w:ascii="Calibri" w:hAnsi="Calibri"/>
                <w:b/>
                <w:i w:val="0"/>
                <w:color w:val="1B3A5F"/>
                <w:sz w:val="20"/>
              </w:rPr>
              <w:t>Fee</w:t>
            </w:r>
          </w:p>
        </w:tc>
        <w:tc>
          <w:tcPr>
            <w:tcW w:type="dxa" w:w="6520"/>
            <w:shd w:fill="FFFFFF" w:val="clear"/>
          </w:tcPr>
          <w:p>
            <w:r/>
            <w:r>
              <w:rPr>
                <w:rFonts w:ascii="Calibri" w:hAnsi="Calibri"/>
                <w:b w:val="0"/>
                <w:i w:val="0"/>
                <w:color w:val="222222"/>
                <w:sz w:val="20"/>
              </w:rPr>
              <w:t>EUR 120 up to 7 pages</w:t>
            </w:r>
          </w:p>
        </w:tc>
      </w:tr>
      <w:tr>
        <w:tc>
          <w:tcPr>
            <w:tcW w:type="dxa" w:w="2948"/>
            <w:shd w:fill="E8EEF4" w:val="clear"/>
          </w:tcPr>
          <w:p>
            <w:r/>
            <w:r>
              <w:rPr>
                <w:rFonts w:ascii="Calibri" w:hAnsi="Calibri"/>
                <w:b/>
                <w:i w:val="0"/>
                <w:color w:val="1B3A5F"/>
                <w:sz w:val="20"/>
              </w:rPr>
              <w:t>Why this venue</w:t>
            </w:r>
          </w:p>
        </w:tc>
        <w:tc>
          <w:tcPr>
            <w:tcW w:type="dxa" w:w="6520"/>
            <w:shd w:fill="F7F9FB" w:val="clear"/>
          </w:tcPr>
          <w:p>
            <w:r/>
            <w:r>
              <w:rPr>
                <w:rFonts w:ascii="Calibri" w:hAnsi="Calibri"/>
                <w:b w:val="0"/>
                <w:i w:val="0"/>
                <w:color w:val="222222"/>
                <w:sz w:val="20"/>
              </w:rPr>
              <w:t>Open January deadline, applied IT, explicit tracks for AI and digital economy. Not CORE A. Realistic first indexed papers.</w:t>
            </w:r>
          </w:p>
        </w:tc>
      </w:tr>
    </w:tbl>
    <w:p>
      <w:pPr>
        <w:spacing w:after="80"/>
      </w:pPr>
    </w:p>
    <w:p>
      <w:pPr>
        <w:spacing w:before="280" w:after="120"/>
        <w:pBdr>
          <w:bottom w:val="single" w:sz="12" w:space="4" w:color="1B3A5F"/>
        </w:pBdr>
      </w:pPr>
      <w:r>
        <w:rPr>
          <w:rFonts w:ascii="Calibri" w:hAnsi="Calibri"/>
          <w:b/>
          <w:i w:val="0"/>
          <w:color w:val="1B3A5F"/>
          <w:sz w:val="32"/>
        </w:rPr>
        <w:t>2. Problem</w:t>
      </w:r>
    </w:p>
    <w:p>
      <w:pPr>
        <w:spacing w:after="160" w:line="276" w:lineRule="auto"/>
        <w:jc w:val="both"/>
      </w:pPr>
      <w:r>
        <w:rPr>
          <w:rFonts w:ascii="Calibri" w:hAnsi="Calibri"/>
          <w:b w:val="0"/>
          <w:i w:val="0"/>
          <w:color w:val="222222"/>
          <w:sz w:val="22"/>
        </w:rPr>
        <w:t>Business RAG is asked: what is the refund window, which SOP applies, is this ticket still open. The corpus is not Wikipedia. Policies conflict, tickets are stale, acronyms are local, and many questions are unanswerable. A fluent answer that cites the wrong SOP is worse than a refusal. Wikipedia RAG numbers do not transfer here; EnterpriseRAG-Bench (2026) already showed BM25 beating vectors on internal-style text.</w:t>
      </w:r>
    </w:p>
    <w:p>
      <w:pPr>
        <w:spacing w:before="280" w:after="120"/>
        <w:pBdr>
          <w:bottom w:val="single" w:sz="12" w:space="4" w:color="1B3A5F"/>
        </w:pBdr>
      </w:pPr>
      <w:r>
        <w:rPr>
          <w:rFonts w:ascii="Calibri" w:hAnsi="Calibri"/>
          <w:b/>
          <w:i w:val="0"/>
          <w:color w:val="1B3A5F"/>
          <w:sz w:val="32"/>
        </w:rPr>
        <w:t>3. Existing work</w:t>
      </w:r>
    </w:p>
    <w:p>
      <w:pPr>
        <w:pStyle w:val="ListBullet"/>
        <w:spacing w:after="60"/>
        <w:ind w:left="567"/>
      </w:pPr>
      <w:r>
        <w:rPr>
          <w:rFonts w:ascii="Calibri" w:hAnsi="Calibri"/>
          <w:b w:val="0"/>
          <w:i w:val="0"/>
          <w:color w:val="222222"/>
          <w:sz w:val="22"/>
        </w:rPr>
        <w:t>RAGTruth, FaithJudge, TRIVIA+: faithfulness on Wikipedia/QA/summarisation.</w:t>
      </w:r>
    </w:p>
    <w:p>
      <w:pPr>
        <w:pStyle w:val="ListBullet"/>
        <w:spacing w:after="60"/>
        <w:ind w:left="567"/>
      </w:pPr>
      <w:r>
        <w:rPr>
          <w:rFonts w:ascii="Calibri" w:hAnsi="Calibri"/>
          <w:b w:val="0"/>
          <w:i w:val="0"/>
          <w:color w:val="222222"/>
          <w:sz w:val="22"/>
        </w:rPr>
        <w:t>EnterpriseRAG-Bench (2026): 500k synthetic company docs; public QA transfer fails; unanswerable items exist. We will USE this finding, not pretend we discovered enterprise noise.</w:t>
      </w:r>
    </w:p>
    <w:p>
      <w:pPr>
        <w:pStyle w:val="ListBullet"/>
        <w:spacing w:after="60"/>
        <w:ind w:left="567"/>
      </w:pPr>
      <w:r>
        <w:rPr>
          <w:rFonts w:ascii="Calibri" w:hAnsi="Calibri"/>
          <w:b w:val="0"/>
          <w:i w:val="0"/>
          <w:color w:val="222222"/>
          <w:sz w:val="22"/>
        </w:rPr>
        <w:t>Business-RAG (2026): Llama/DeepSeek + RAG for business IE. Extraction, not calibrated refusal on conflicts.</w:t>
      </w:r>
    </w:p>
    <w:p>
      <w:pPr>
        <w:pStyle w:val="ListBullet"/>
        <w:spacing w:after="60"/>
        <w:ind w:left="567"/>
      </w:pPr>
      <w:r>
        <w:rPr>
          <w:rFonts w:ascii="Calibri" w:hAnsi="Calibri"/>
          <w:b w:val="0"/>
          <w:i w:val="0"/>
          <w:color w:val="222222"/>
          <w:sz w:val="22"/>
        </w:rPr>
        <w:t>Case-aware LLM-as-judge for enterprise RAG (2026): operational metrics beyond RAGAS. Heavy judge stack.</w:t>
      </w:r>
    </w:p>
    <w:p>
      <w:pPr>
        <w:pStyle w:val="ListBullet"/>
        <w:spacing w:after="60"/>
        <w:ind w:left="567"/>
      </w:pPr>
      <w:r>
        <w:rPr>
          <w:rFonts w:ascii="Calibri" w:hAnsi="Calibri"/>
          <w:b w:val="0"/>
          <w:i w:val="0"/>
          <w:color w:val="222222"/>
          <w:sz w:val="22"/>
        </w:rPr>
        <w:t>Standard RAGAS faithfulness: collapses retrieval error, conflict, and unanswerable into one score.</w:t>
      </w:r>
    </w:p>
    <w:p>
      <w:pPr>
        <w:spacing w:after="160" w:line="276" w:lineRule="auto"/>
        <w:jc w:val="both"/>
      </w:pPr>
      <w:r>
        <w:rPr>
          <w:rFonts w:ascii="Calibri" w:hAnsi="Calibri"/>
          <w:b w:val="0"/>
          <w:i w:val="0"/>
          <w:color w:val="222222"/>
          <w:sz w:val="22"/>
        </w:rPr>
        <w:t>GAP: A 7-page applied study can still add a small conflicting-SOP corpus and report four rates separately: supported, contradicted (two policies), stale, and abstain. EnterpriseRAG-Bench is huge and synthetic. We need a compact, inspectable conflict/stale/unanswerable protocol a reviewer can check by hand. Do not claim we introduce enterprise RAG.</w:t>
      </w:r>
    </w:p>
    <w:p>
      <w:pPr>
        <w:spacing w:before="280" w:after="120"/>
        <w:pBdr>
          <w:bottom w:val="single" w:sz="12" w:space="4" w:color="1B3A5F"/>
        </w:pBdr>
      </w:pPr>
      <w:r>
        <w:rPr>
          <w:rFonts w:ascii="Calibri" w:hAnsi="Calibri"/>
          <w:b/>
          <w:i w:val="0"/>
          <w:color w:val="1B3A5F"/>
          <w:sz w:val="32"/>
        </w:rPr>
        <w:t>4. Proposal</w:t>
      </w:r>
    </w:p>
    <w:p>
      <w:pPr>
        <w:pStyle w:val="ListNumber"/>
        <w:spacing w:after="60"/>
        <w:ind w:left="567"/>
      </w:pPr>
      <w:r>
        <w:rPr>
          <w:rFonts w:ascii="Calibri" w:hAnsi="Calibri"/>
          <w:b w:val="0"/>
          <w:i w:val="0"/>
          <w:color w:val="222222"/>
          <w:sz w:val="22"/>
        </w:rPr>
        <w:t>Build 40-60 short business docs: SOPs, price lists, ticket snippets, two versions of the same refund policy with different dates. Public and fake.</w:t>
      </w:r>
    </w:p>
    <w:p>
      <w:pPr>
        <w:pStyle w:val="ListNumber"/>
        <w:spacing w:after="60"/>
        <w:ind w:left="567"/>
      </w:pPr>
      <w:r>
        <w:rPr>
          <w:rFonts w:ascii="Calibri" w:hAnsi="Calibri"/>
          <w:b w:val="0"/>
          <w:i w:val="0"/>
          <w:color w:val="222222"/>
          <w:sz w:val="22"/>
        </w:rPr>
        <w:t>80 questions: factoid, conflict, stale, unanswerable.</w:t>
      </w:r>
    </w:p>
    <w:p>
      <w:pPr>
        <w:pStyle w:val="ListNumber"/>
        <w:spacing w:after="60"/>
        <w:ind w:left="567"/>
      </w:pPr>
      <w:r>
        <w:rPr>
          <w:rFonts w:ascii="Calibri" w:hAnsi="Calibri"/>
          <w:b w:val="0"/>
          <w:i w:val="0"/>
          <w:color w:val="222222"/>
          <w:sz w:val="22"/>
        </w:rPr>
        <w:t>Retrievers: BM25, dense, hybrid. Same generator.</w:t>
      </w:r>
    </w:p>
    <w:p>
      <w:pPr>
        <w:pStyle w:val="ListNumber"/>
        <w:spacing w:after="60"/>
        <w:ind w:left="567"/>
      </w:pPr>
      <w:r>
        <w:rPr>
          <w:rFonts w:ascii="Calibri" w:hAnsi="Calibri"/>
          <w:b w:val="0"/>
          <w:i w:val="0"/>
          <w:color w:val="222222"/>
          <w:sz w:val="22"/>
        </w:rPr>
        <w:t>Labels: Supported / Contradicted / Stale / Abstain. Automatic faithfulness plus human labels on all 80.</w:t>
      </w:r>
    </w:p>
    <w:p>
      <w:pPr>
        <w:pStyle w:val="ListNumber"/>
        <w:spacing w:after="60"/>
        <w:ind w:left="567"/>
      </w:pPr>
      <w:r>
        <w:rPr>
          <w:rFonts w:ascii="Calibri" w:hAnsi="Calibri"/>
          <w:b w:val="0"/>
          <w:i w:val="0"/>
          <w:color w:val="222222"/>
          <w:sz w:val="22"/>
        </w:rPr>
        <w:t>Intervention: if top documents disagree on a slot (days, amount, status), force abstain + show both snippets.</w:t>
      </w:r>
    </w:p>
    <w:p>
      <w:pPr>
        <w:pStyle w:val="ListNumber"/>
        <w:spacing w:after="60"/>
        <w:ind w:left="567"/>
      </w:pPr>
      <w:r>
        <w:rPr>
          <w:rFonts w:ascii="Calibri" w:hAnsi="Calibri"/>
          <w:b w:val="0"/>
          <w:i w:val="0"/>
          <w:color w:val="222222"/>
          <w:sz w:val="22"/>
        </w:rPr>
        <w:t>Compare against always-answer RAG. Success is higher Abstain precision on unanswerable/conflict, without collapsing Supported on clean factoids.</w:t>
      </w:r>
    </w:p>
    <w:p>
      <w:pPr>
        <w:spacing w:before="280" w:after="120"/>
        <w:pBdr>
          <w:bottom w:val="single" w:sz="12" w:space="4" w:color="1B3A5F"/>
        </w:pBdr>
      </w:pPr>
      <w:r>
        <w:rPr>
          <w:rFonts w:ascii="Calibri" w:hAnsi="Calibri"/>
          <w:b/>
          <w:i w:val="0"/>
          <w:color w:val="1B3A5F"/>
          <w:sz w:val="32"/>
        </w:rPr>
        <w:t>5. Novelty</w:t>
      </w:r>
    </w:p>
    <w:p>
      <w:pPr>
        <w:spacing w:after="160" w:line="276" w:lineRule="auto"/>
        <w:jc w:val="both"/>
      </w:pPr>
      <w:r>
        <w:rPr>
          <w:rFonts w:ascii="Calibri" w:hAnsi="Calibri"/>
          <w:b w:val="0"/>
          <w:i w:val="0"/>
          <w:color w:val="222222"/>
          <w:sz w:val="22"/>
        </w:rPr>
        <w:t>A compact conflict-and-stale protocol plus a disagreement-triggered refuse rule. Not a new retriever. Not a 500k benchmark. Distinct from Paper 1 (no tool execution) and from the withdrawn social-media paper (business docs, not tweets).</w:t>
      </w:r>
    </w:p>
    <w:p>
      <w:pPr>
        <w:spacing w:before="280" w:after="120"/>
        <w:pBdr>
          <w:bottom w:val="single" w:sz="12" w:space="4" w:color="1B3A5F"/>
        </w:pBdr>
      </w:pPr>
      <w:r>
        <w:rPr>
          <w:rFonts w:ascii="Calibri" w:hAnsi="Calibri"/>
          <w:b/>
          <w:i w:val="0"/>
          <w:color w:val="1B3A5F"/>
          <w:sz w:val="32"/>
        </w:rPr>
        <w:t>6. Skeleton</w:t>
      </w:r>
    </w:p>
    <w:p>
      <w:pPr>
        <w:pStyle w:val="ListNumber"/>
        <w:spacing w:after="60"/>
        <w:ind w:left="567"/>
      </w:pPr>
      <w:r>
        <w:rPr>
          <w:rFonts w:ascii="Calibri" w:hAnsi="Calibri"/>
          <w:b w:val="0"/>
          <w:i w:val="0"/>
          <w:color w:val="222222"/>
          <w:sz w:val="22"/>
        </w:rPr>
        <w:t>Introduction — fluency is not policy compliance.</w:t>
      </w:r>
    </w:p>
    <w:p>
      <w:pPr>
        <w:pStyle w:val="ListNumber"/>
        <w:spacing w:after="60"/>
        <w:ind w:left="567"/>
      </w:pPr>
      <w:r>
        <w:rPr>
          <w:rFonts w:ascii="Calibri" w:hAnsi="Calibri"/>
          <w:b w:val="0"/>
          <w:i w:val="0"/>
          <w:color w:val="222222"/>
          <w:sz w:val="22"/>
        </w:rPr>
        <w:t>Related Work — RAG faithfulness, EnterpriseRAG-Bench, Business-RAG, RAGAS limits.</w:t>
      </w:r>
    </w:p>
    <w:p>
      <w:pPr>
        <w:pStyle w:val="ListNumber"/>
        <w:spacing w:after="60"/>
        <w:ind w:left="567"/>
      </w:pPr>
      <w:r>
        <w:rPr>
          <w:rFonts w:ascii="Calibri" w:hAnsi="Calibri"/>
          <w:b w:val="0"/>
          <w:i w:val="0"/>
          <w:color w:val="222222"/>
          <w:sz w:val="22"/>
        </w:rPr>
        <w:t>Corpus and task — 3.1 Documents. 3.2 Question types. 3.3 Label guide.</w:t>
      </w:r>
    </w:p>
    <w:p>
      <w:pPr>
        <w:pStyle w:val="ListNumber"/>
        <w:spacing w:after="60"/>
        <w:ind w:left="567"/>
      </w:pPr>
      <w:r>
        <w:rPr>
          <w:rFonts w:ascii="Calibri" w:hAnsi="Calibri"/>
          <w:b w:val="0"/>
          <w:i w:val="0"/>
          <w:color w:val="222222"/>
          <w:sz w:val="22"/>
        </w:rPr>
        <w:t>Method — 4.1 Retrievers. 4.2 Disagreement gate. 4.3 Metrics.</w:t>
      </w:r>
    </w:p>
    <w:p>
      <w:pPr>
        <w:pStyle w:val="ListNumber"/>
        <w:spacing w:after="60"/>
        <w:ind w:left="567"/>
      </w:pPr>
      <w:r>
        <w:rPr>
          <w:rFonts w:ascii="Calibri" w:hAnsi="Calibri"/>
          <w:b w:val="0"/>
          <w:i w:val="0"/>
          <w:color w:val="222222"/>
          <w:sz w:val="22"/>
        </w:rPr>
        <w:t>Results — BM25 vs dense on this corpus (expect BM25 to be competitive; report honestly).</w:t>
      </w:r>
    </w:p>
    <w:p>
      <w:pPr>
        <w:pStyle w:val="ListNumber"/>
        <w:spacing w:after="60"/>
        <w:ind w:left="567"/>
      </w:pPr>
      <w:r>
        <w:rPr>
          <w:rFonts w:ascii="Calibri" w:hAnsi="Calibri"/>
          <w:b w:val="0"/>
          <w:i w:val="0"/>
          <w:color w:val="222222"/>
          <w:sz w:val="22"/>
        </w:rPr>
        <w:t>Conclusions.</w:t>
      </w:r>
    </w:p>
    <w:p>
      <w:pPr>
        <w:pStyle w:val="ListNumber"/>
        <w:spacing w:after="60"/>
        <w:ind w:left="567"/>
      </w:pPr>
      <w:r>
        <w:rPr>
          <w:rFonts w:ascii="Calibri" w:hAnsi="Calibri"/>
          <w:b w:val="0"/>
          <w:i w:val="0"/>
          <w:color w:val="222222"/>
          <w:sz w:val="22"/>
        </w:rPr>
        <w:t>References — IEEE, 10+.</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444444"/>
        <w:sz w:val="16"/>
      </w:rPr>
      <w:t>Paper 2 rebuilt  |  Enterprise-style RAG with calibrated refusal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