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t>Becoming Informed at Work: Information Behavior of Employees Using Retrieval-Augmented Assistants</w:t>
      </w:r>
    </w:p>
    <w:p>
      <w:pPr>
        <w:pStyle w:val="Autorname"/>
      </w:pPr>
      <w:r>
        <w:t>Anonymous author(s)  |  Double-blind submission  |  Do not add names, affiliations, or acknowledgements before acceptance</w:t>
      </w:r>
    </w:p>
    <w:p>
      <w:pPr>
        <w:pStyle w:val="University"/>
      </w:pPr>
      <w:r>
        <w:t>[Affiliation removed for review]</w:t>
      </w:r>
    </w:p>
    <w:p>
      <w:pPr>
        <w:pStyle w:val="University"/>
      </w:pPr>
      <w:r>
        <w:t>Submission type: Forschungsbeitrag (full paper), English. Target: Information – Wissenschaft und Praxis. APA. Max. 7,000 words excluding references.</w:t>
      </w:r>
    </w:p>
    <w:p>
      <w:pPr>
        <w:pStyle w:val="berschrift1"/>
      </w:pPr>
      <w:r>
        <w:t>Abstract</w:t>
      </w:r>
    </w:p>
    <w:p>
      <w:pPr/>
      <w:r>
        <w:t>Information science has a mature account of how people become informed through search, colleagues, and documents. Retrieval-augmented generation (RAG) assistants now answer workplace questions in a single fluent utterance while optionally showing snippets. That move relocates “becoming informed” from a results list the worker can inspect to a generated statement the worker may treat as a source. This paper reports a qualitative think-aloud study of employees (and work-like proxies) completing policy and operations tasks with a small, inspectable RAG assistant over a controlled intranet of standard operating procedures. The unit of analysis is the informing episode: a task, a query, retrieved evidence, the model’s utterance, and the worker’s next move. Episodes are coded as becoming informed, being misinformed, remaining uninformed, overtrust, and repair. The contribution is an information-behavior account of workplace RAG, not a new retriever. Findings will be completed after data collection; this draft locks the theory, research questions, instrument, and coding scheme so the empirical section can be written without changing the claim. Until those sessions exist, the Findings section must not be submitted.</w:t>
      </w:r>
    </w:p>
    <w:p>
      <w:pPr/>
      <w:r>
        <w:t>Keywords: information behavior; information literacy; retrieval-augmented generation; workplace; becoming informed; generative artificial intelligence</w:t>
      </w:r>
    </w:p>
    <w:p>
      <w:pPr>
        <w:pStyle w:val="berschrift1"/>
      </w:pPr>
      <w:r>
        <w:t>Status of this draft (remove before any submission)</w:t>
      </w:r>
    </w:p>
    <w:p>
      <w:pPr/>
      <w:r>
        <w:t>Written on 22 September 2026 for ISI 2027 (EasyChair metadata due 5 October 2026; PDF due 12 October 2026). Sections 1–5 and the coding book are intended to be kept. Section 6 is a scaffold only. Do not invent quotes, N, or kappa. If fewer than eight sessions can be run by 3 October 2026, switch the EasyChair type to Poster &amp; Demo (max. 1,000 words) instead of submitting an empty full paper.</w:t>
      </w:r>
    </w:p>
    <w:p>
      <w:pPr>
        <w:pStyle w:val="berschrift1"/>
      </w:pPr>
      <w:r>
        <w:t>1. Introduction</w:t>
      </w:r>
    </w:p>
    <w:p>
      <w:pPr/>
      <w:r>
        <w:t>The motto of ISI 2027 is Michael Buckland’s phrase “becoming informed and informing others” (Buckland, 2017). Information science, in that framing, is not the study of machines that store text. It is the study of how people move from a less informed to a more informed state, and of the institutions and tools that help or hinder that move. For three decades those tools have mainly been search systems: a query, a ranked list, and a set of documents the seeker can open, compare, and reject (Bates, 1989; Kuhlthau, 1991; Lewandowski, 2023). Workplace studies added colleagues, shared drives, tickets, and professional judgement as equally important sources (Byström &amp; Järvelin, 1995; Lloyd, 2010).</w:t>
      </w:r>
    </w:p>
    <w:p>
      <w:pPr/>
      <w:r>
        <w:t>Generative assistants change the surface of that process. A worker can now type “what is the refund window for a damaged parcel?” and receive a paragraph that sounds like a policy officer. In a plain chatbot the paragraph is drawn from parametric memory and may be fabricated. In a retrieval-augmented system the paragraph is conditioned on retrieved passages (Lewis et al., 2020). The engineering literature treats that difference as a hallucination problem. For information science the more precise question is different: does the worker become informed, or does the worker stop seeking because the utterance looks already informed?</w:t>
      </w:r>
    </w:p>
    <w:p>
      <w:pPr/>
      <w:r>
        <w:t>That question is easy to miss if RAG is evaluated only with answer accuracy. A correct sentence can still leave the worker unable to say which document was used, whether a second policy contradicts the first, or whether the case is simply not in the corpus. A refused answer can leave the worker uninformed yet better placed to ask a colleague. A fluent wrong answer can produce misinformation that is harder to see than an empty search page. These are informing outcomes, not model scores.</w:t>
      </w:r>
    </w:p>
    <w:p>
      <w:pPr/>
      <w:r>
        <w:t>Two further shifts make the workplace a distinct setting. First, the corpus is not the open web. It is a messy mix of standard operating procedures, price lists, tickets, and stale copies of the same rule (a point now documented in enterprise RAG engineering, but rarely studied as information behavior). Second, the worker is not only becoming informed for themselves. They often inform a customer, a manager, or a teammate. Buckland’s second clause—informing others—is therefore not a metaphor. It is the job.</w:t>
      </w:r>
    </w:p>
    <w:p>
      <w:pPr/>
      <w:r>
        <w:t>This paper asks how employees become informed when the primary intermediary is a retrieval-augmented assistant rather than a search box. The study uses a small, fully inspectable RAG over a controlled set of workplace documents and a think-aloud protocol. The aim is a coding scheme and an empirical description of informing episodes, not a claim about national productivity. Three research questions guide the work:</w:t>
      </w:r>
    </w:p>
    <w:p>
      <w:pPr>
        <w:pStyle w:val="Numberedlist"/>
      </w:pPr>
      <w:r>
        <w:t>RQ1. What informing practices appear when workers complete policy and operations tasks with a RAG assistant?</w:t>
      </w:r>
    </w:p>
    <w:p>
      <w:pPr>
        <w:pStyle w:val="Numberedlist"/>
      </w:pPr>
      <w:r>
        <w:t>RQ2. In which situations do workers become misinformed, remain uninformed, or overtrust a fluent answer?</w:t>
      </w:r>
    </w:p>
    <w:p>
      <w:pPr>
        <w:pStyle w:val="Numberedlist"/>
      </w:pPr>
      <w:r>
        <w:t>RQ3. What repair moves (opening snippets, revising the query, asking a human, abandoning the task) follow a refusal versus a fluent answer?</w:t>
      </w:r>
    </w:p>
    <w:p>
      <w:pPr/>
      <w:r>
        <w:t>The rest of the paper is organized as follows. Section 2 places the study in information-behavior and information-literacy theory. Section 3 reviews empirical work on workplace informing, search, and generative AI, and states the gap. Section 4 describes the method. Section 5 presents the coding book. Section 6 is reserved for findings. Section 7 discusses design implications for information literacy next to a RAG box. Section 8 concludes.</w:t>
      </w:r>
    </w:p>
    <w:p>
      <w:pPr>
        <w:pStyle w:val="berschrift1"/>
      </w:pPr>
      <w:r>
        <w:t>2. Theoretical background</w:t>
      </w:r>
    </w:p>
    <w:p>
      <w:pPr>
        <w:pStyle w:val="berschrift1"/>
      </w:pPr>
      <w:r>
        <w:t>2.1 Becoming informed</w:t>
      </w:r>
    </w:p>
    <w:p>
      <w:pPr/>
      <w:r>
        <w:t>Buckland (1991, 2017) distinguishes information-as-thing, information-as-process, and information-as-knowledge. A SOP file is information-as-thing. The worker’s change of state is information-as-process: becoming informed. The policy they can later apply is information-as-knowledge. Search engines expose things and leave the process visible: the seeker sees that several documents were considered. A generative assistant collapses thing and process into one utterance. The knowledge state may change without the worker ever handling a thing. That collapse is the theoretical motive for this study.</w:t>
      </w:r>
    </w:p>
    <w:p>
      <w:pPr/>
      <w:r>
        <w:t>Wilson (1999) models information behavior as nested layers of behavior, seeking, and search, activated by a need and mediated by intervening variables. Kuhlthau (1991, 2004) adds the affective path of the search process: uncertainty, formulation, collection, and presentation. Both models assume that the seeker remains in contact with identifiable sources long enough to feel uncertainty and to formulate. A RAG answer that arrives in two seconds can skip formulation. The worker may move straight to presentation—telling a customer what “the system said”—without a collection stage. If that happens, Kuhlthau’s zone of intervention moves from the query to the moment after the utterance: the design problem is not only better ranking, but a pause in which the worker can still become informed rather than merely equipped with a sentence.</w:t>
      </w:r>
    </w:p>
    <w:p>
      <w:pPr/>
      <w:r>
        <w:t>Savolainen (1995) and everyday-life information seeking remind us that people satisfice. In a shop or a support desk, “good enough to close the ticket” may replace “informed enough to justify the rule.” Task complexity research already showed that source use changes with the task (Byström &amp; Järvelin, 1995). A RAG box is a new source type whose cost of access is extremely low. Low cost predicts more use and, without literacy support, more satisficing on the first fluent answer.</w:t>
      </w:r>
    </w:p>
    <w:p>
      <w:pPr>
        <w:pStyle w:val="berschrift1"/>
      </w:pPr>
      <w:r>
        <w:t>2.2 Workplace information literacy</w:t>
      </w:r>
    </w:p>
    <w:p>
      <w:pPr/>
      <w:r>
        <w:t>Information literacy in the workplace is not a checklist of database skills. Lloyd (2010) describes it as a landscape of social, corporeal, and epistemic modalities: people learn what counts as evidence from colleagues and from practice, not only from documents. A RAG assistant that answers from documents alone can look epistemically complete while remaining socially thin. The worker may never learn which colleague used to own the exception, or that the PDF in the index is a draft. Literacy here means the capacity to treat the assistant as one informing institution among others, to ask what is missing, and to decide when to leave the box.</w:t>
      </w:r>
    </w:p>
    <w:p>
      <w:pPr/>
      <w:r>
        <w:t>Source criticism in search research has long argued that ranking and interface design shape what people take to be true (Lewandowski, 2023). A citation panel under a RAG answer is not automatically literacy. If workers never open the snippet, the panel is decoration. The study therefore treats snippet use, query revision, and escalation to a human as literacy moves, not as usability extras.</w:t>
      </w:r>
    </w:p>
    <w:p>
      <w:pPr>
        <w:pStyle w:val="berschrift1"/>
      </w:pPr>
      <w:r>
        <w:t>2.3 RAG as an informing institution, not as a search engine</w:t>
      </w:r>
    </w:p>
    <w:p>
      <w:pPr/>
      <w:r>
        <w:t>Lewis et al. (2020) introduced retrieval-augmented generation as a way to condition a language model on retrieved passages. Subsequent engineering work has shown that public-web RAG numbers do not transfer cleanly to company-internal text, which is full of acronyms, tickets, and conflicting copies. That is an important retrieval fact. It is not yet an information-behavior fact. This paper uses RAG as the field site: a bounded corpus, a retriever, a generator, and a visible evidence panel. The assistant is treated as an informing institution in Buckland’s sense. The evaluation target is the worker’s informing state, not token-level faithfulness (though faithfulness failures are one route to misinformation).</w:t>
      </w:r>
    </w:p>
    <w:p>
      <w:pPr>
        <w:pStyle w:val="berschrift1"/>
      </w:pPr>
      <w:r>
        <w:t>3. Related empirical work and gap</w:t>
      </w:r>
    </w:p>
    <w:p>
      <w:pPr/>
      <w:r>
        <w:t>Workplace information behavior is a large literature. People use colleagues first for many operational questions; documents are used when the task is more complex or more accountable (Byström &amp; Järvelin, 1995; Lloyd, 2010). Intranet search studies show that employees struggle with naming, stale pages, and the absence of a single official copy. Those findings predict exactly the failure modes enterprise RAG now meets, but they were produced in a world of links, not generated answers.</w:t>
      </w:r>
    </w:p>
    <w:p>
      <w:pPr/>
      <w:r>
        <w:t>Information-behavior research on generative AI is still thin relative to the scale of use. Gorichanaz (2025) analysed 205 public vignettes of ChatGPT use and described six information practices the tool supports: writing, deciding, identifying, ideating, talking, and critiquing. Work appears in that set, but the source is an unconstrained chatbot, not a retrieval-grounded workplace assistant, and the method is vignette analysis rather than observed task behavior. The study is a necessary starting point: it shows that people already treat a generative model as an information source, not only as a writing aid.</w:t>
      </w:r>
    </w:p>
    <w:p>
      <w:pPr/>
      <w:r>
        <w:t>Engineering and knowledge-management papers on enterprise RAG report productivity and trust problems—especially the extra effort of verification when answers cannot be trusted—but they typically measure system quality or adoption, not informing episodes. Accuracy, latency, and “user satisfaction” can all rise while the worker becomes less able to name a source. That is the gap this paper is written to close.</w:t>
      </w:r>
    </w:p>
    <w:p>
      <w:pPr/>
      <w:r>
        <w:t>Search-literacy and source-criticism work (Lewandowski, 2023) explains how people judge web results. It does not yet explain how they judge a paragraph that already looks like a conclusion. HCI work on explainable dashboards is adjacent: explanations that are technically complete can still be operationally unused. This paper stays on the informing side of that line. The related Paper 4 in our broader programme treats contestability and social explainability; it is not reported here.</w:t>
      </w:r>
    </w:p>
    <w:p>
      <w:pPr/>
      <w:r>
        <w:t>Gap. There is no published coding of informing episodes for workplace RAG: query, retrieved snippets, model utterance, worker uptake, optional human. Classic IB models do not yet have a category for “the source spoke in the first person and I stopped searching.” Closing that gap requires observation, not another retrieval leaderboard.</w:t>
      </w:r>
    </w:p>
    <w:p>
      <w:pPr>
        <w:pStyle w:val="berschrift1"/>
      </w:pPr>
      <w:r>
        <w:t>4. Method</w:t>
      </w:r>
    </w:p>
    <w:p>
      <w:pPr>
        <w:pStyle w:val="berschrift1"/>
      </w:pPr>
      <w:r>
        <w:t>4.1 Design</w:t>
      </w:r>
    </w:p>
    <w:p>
      <w:pPr/>
      <w:r>
        <w:t>The study is a qualitative, think-aloud laboratory study with work-like tasks. The design is appropriate for a first empirical description. It does not support claims about all industries or about learning gains. Participants complete six tasks with a RAG assistant. Sessions are recorded (screen and voice) with consent. The researcher does not help unless the interface breaks. A short exit interview asks what the participant would do with a real customer waiting.</w:t>
      </w:r>
    </w:p>
    <w:p>
      <w:pPr>
        <w:pStyle w:val="berschrift1"/>
      </w:pPr>
      <w:r>
        <w:t>4.2 Field site: a controlled workplace RAG</w:t>
      </w:r>
    </w:p>
    <w:p>
      <w:pPr/>
      <w:r>
        <w:t>A real company corpus cannot be published and would confound the study with unknown missing documents. The field site is therefore a controlled intranet of 15–20 short English documents written as a fictional parcel-and-retail operation: refund windows, damaged-goods rules, price lists with two dated versions, a stale SOP, a ticket example, and at least two policies that disagree on a number (for example 14 days versus 30 days). Every document has a title, a date, and a version. The assistant retrieves passages with a transparent lexical retriever (BM25) and generates a short answer. The interface always shows the retrieved snippets and dates under the answer. For some tasks the correct move is to abstain because the case is not in the corpus; the generator is prompted to say when evidence is missing or conflicting, but it is not assumed to obey that prompt. The point of the instrument is to make informing visible, not to demonstrate a novel model.</w:t>
      </w:r>
    </w:p>
    <w:p>
      <w:pPr>
        <w:pStyle w:val="berschrift1"/>
      </w:pPr>
      <w:r>
        <w:t>4.3 Participants</w:t>
      </w:r>
    </w:p>
    <w:p>
      <w:pPr/>
      <w:r>
        <w:t>The target sample is 8–12 adults who regularly answer operational questions at work (support, operations, office administration, or similar) or advanced students with workplace experience used as proxies. Convenience sampling is acceptable if the paper states it. Exclusion: people who designed the corpus. Each participant receives the same six tasks. If fewer than eight sessions are completed, the manuscript should be recast as a poster of work in progress.</w:t>
      </w:r>
    </w:p>
    <w:p>
      <w:pPr>
        <w:pStyle w:val="berschrift1"/>
      </w:pPr>
      <w:r>
        <w:t>4.4 Tasks</w:t>
      </w:r>
    </w:p>
    <w:p>
      <w:pPr/>
      <w:r>
        <w:t>The six tasks are written so that informing can fail in different ways. They will be presented in a fixed order after a two-minute interface tutorial.</w:t>
      </w:r>
    </w:p>
    <w:p>
      <w:pPr>
        <w:pStyle w:val="Numberedlist"/>
      </w:pPr>
      <w:r>
        <w:t>T1 Factoid. What is the refund window for an unopened item? (one current SOP; snippets should suffice.)</w:t>
      </w:r>
    </w:p>
    <w:p>
      <w:pPr>
        <w:pStyle w:val="Numberedlist"/>
      </w:pPr>
      <w:r>
        <w:t>T2 Conflict. A customer wants a refund on day 20. Two dated policies disagree (14 vs 30 days). Becoming informed requires seeing the conflict, not averaging the numbers.</w:t>
      </w:r>
    </w:p>
    <w:p>
      <w:pPr>
        <w:pStyle w:val="Numberedlist"/>
      </w:pPr>
      <w:r>
        <w:t>T3 Stale. A price or fee was updated; an older PDF remains in the index. The date on the snippet is the literacy cue.</w:t>
      </w:r>
    </w:p>
    <w:p>
      <w:pPr>
        <w:pStyle w:val="Numberedlist"/>
      </w:pPr>
      <w:r>
        <w:t>T4 Missing. A case type is not in the corpus (for example international warranty). Remaining uninformed and saying so is the successful informing move.</w:t>
      </w:r>
    </w:p>
    <w:p>
      <w:pPr>
        <w:pStyle w:val="Numberedlist"/>
      </w:pPr>
      <w:r>
        <w:t>T5 Informing others. The participant must write one sentence they would send to a customer or supervisor. This operationalises Buckland’s “informing others.”</w:t>
      </w:r>
    </w:p>
    <w:p>
      <w:pPr>
        <w:pStyle w:val="Numberedlist"/>
      </w:pPr>
      <w:r>
        <w:t>T6 Repair. After a deliberately fluent but weakly grounded answer (or a refusal), the participant is asked what they would do next.</w:t>
      </w:r>
    </w:p>
    <w:p>
      <w:pPr>
        <w:pStyle w:val="berschrift1"/>
      </w:pPr>
      <w:r>
        <w:t>4.5 Data and analysis</w:t>
      </w:r>
    </w:p>
    <w:p>
      <w:pPr/>
      <w:r>
        <w:t>Primary data are think-aloud transcripts, screen actions (queries, snippet clicks, copy-paste), and the assistant’s answers. The unit of analysis is the informing episode, usually one task. Coding is qualitative content analysis using the book in Section 5. A second coder will independently code a subset (target: at least 20% of episodes). Agreement will be reported as percent agreement and Cohen’s kappa; disagreements will be resolved by discussion. Counts of codes may be shown as descriptive tables. No inferential statistics will be claimed.</w:t>
      </w:r>
    </w:p>
    <w:p>
      <w:pPr>
        <w:pStyle w:val="berschrift1"/>
      </w:pPr>
      <w:r>
        <w:t>4.6 Ethics</w:t>
      </w:r>
    </w:p>
    <w:p>
      <w:pPr/>
      <w:r>
        <w:t>Participants give written consent. Recordings are stored locally and deleted after anonymised transcripts are checked. No real customer data and no employer documents are used. Participants may withdraw during the session. In the submitted manuscript, names, university, and city of recruitment are omitted until after review, except as generic “a university in South Asia” if a setting sentence is required.</w:t>
      </w:r>
    </w:p>
    <w:p>
      <w:pPr>
        <w:pStyle w:val="berschrift1"/>
      </w:pPr>
      <w:r>
        <w:t>5. Coding book</w:t>
      </w:r>
    </w:p>
    <w:p>
      <w:pPr/>
      <w:r>
        <w:t>Codes are applied to the episode as a whole and, where useful, to a turn. An episode may receive more than one process code (for example overtrust then repair). Outcome codes are mutually exclusive for the final state of the task.</w:t>
      </w:r>
    </w:p>
    <w:p>
      <w:pPr>
        <w:pStyle w:val="BulletedList"/>
      </w:pPr>
      <w:r>
        <w:t>Informed. The participant states a conclusion that is licensed by the current document(s) and can point to a snippet or title. For T2, informed includes naming the conflict.</w:t>
      </w:r>
    </w:p>
    <w:p>
      <w:pPr>
        <w:pStyle w:val="BulletedList"/>
      </w:pPr>
      <w:r>
        <w:t>Misinformed. The participant states a conclusion that the corpus does not license (wrong number, wrong version, invented exception).</w:t>
      </w:r>
    </w:p>
    <w:p>
      <w:pPr>
        <w:pStyle w:val="BulletedList"/>
      </w:pPr>
      <w:r>
        <w:t>Uninformed. The participant does not reach a usable conclusion. This includes ignoring a correct refusal and also includes a correct refusal with no next step.</w:t>
      </w:r>
    </w:p>
    <w:p>
      <w:pPr>
        <w:pStyle w:val="BulletedList"/>
      </w:pPr>
      <w:r>
        <w:t>Overtrust. The participant accepts the utterance without opening snippets, even when dates or numbers conflict on screen.</w:t>
      </w:r>
    </w:p>
    <w:p>
      <w:pPr>
        <w:pStyle w:val="BulletedList"/>
      </w:pPr>
      <w:r>
        <w:t>Repair. Query revision, snippet comparison, version check, or escalation to a hypothetical colleague or supervisor.</w:t>
      </w:r>
    </w:p>
    <w:p>
      <w:pPr>
        <w:pStyle w:val="BulletedList"/>
      </w:pPr>
      <w:r>
        <w:t>Informing-other. In T5, the customer-facing sentence is coded as faithful, smoothed (conflict removed), or fabricated.</w:t>
      </w:r>
    </w:p>
    <w:p>
      <w:pPr/>
      <w:r>
        <w:t>The coding book is the main reusable contribution if the sample stays small. Other researchers can apply it to a live workplace RAG without copying this corpus.</w:t>
      </w:r>
    </w:p>
    <w:p>
      <w:pPr>
        <w:pStyle w:val="berschrift1"/>
      </w:pPr>
      <w:r>
        <w:t>6. Findings</w:t>
      </w:r>
    </w:p>
    <w:p>
      <w:pPr/>
      <w:r>
        <w:t>[DO NOT SUBMIT THIS PARAGRAPH. Replace it after sessions.] No findings are reported in this draft because data collection has not been completed. After each session, fill: (a) a table of participants (role, years of experience; no names); (b) a table of outcome codes by task T1–T6; (c) 8–10 short episode vignettes, one or two per code, with anonymised quotes; (d) kappa. Typical patterns to look for, without treating them as results: skipping snippets on T1; picking the larger number on T2; missing the date on T3; treating a missing-case refusal as system failure on T4; smoothing conflict out of the customer sentence on T5.</w:t>
      </w:r>
    </w:p>
    <w:p>
      <w:pPr>
        <w:pStyle w:val="Tabellenberschrift"/>
      </w:pPr>
      <w:r>
        <w:t>Tabelle 1: Outcome codes by task (fill after coding)</w:t>
      </w:r>
    </w:p>
    <w:p>
      <w:pPr>
        <w:pStyle w:val="berschrift1"/>
      </w:pPr>
      <w:r>
        <w:t>7. Discussion</w:t>
      </w:r>
    </w:p>
    <w:p>
      <w:pPr/>
      <w:r>
        <w:t>The discussion should stay inside what the episodes show. Three implications are already implied by the design and by prior theory; they become claims only when Section 6 exists.</w:t>
      </w:r>
    </w:p>
    <w:p>
      <w:pPr/>
      <w:r>
        <w:t>First, information literacy next to a RAG box cannot be taught as “better prompting” alone. If workers do not open dated snippets, the literacy object is the pause after the utterance (Kuhlthau’s intervention, moved one step later). Interfaces that collapse evidence below the fold work against becoming informed.</w:t>
      </w:r>
    </w:p>
    <w:p>
      <w:pPr/>
      <w:r>
        <w:t>Second, refusal is an informing outcome, not only an engineering failure. A worker who remains uninformed and escalates may be more responsible than a worker who is fluent and wrong. Workplace IL programmes should teach refusal as a legitimate state.</w:t>
      </w:r>
    </w:p>
    <w:p>
      <w:pPr/>
      <w:r>
        <w:t>Third, informing others is where RAG risk leaves the individual. A smoothed customer sentence that hides a policy conflict is an institutional problem. Buckland’s motto is therefore operational: the assistant informs the worker, and the worker informs someone who will never see the snippets.</w:t>
      </w:r>
    </w:p>
    <w:p>
      <w:pPr/>
      <w:r>
        <w:t>Limits that must stay in the final paper: laboratory tasks, a fictional firm, English-only documents, a small convenience sample, and a lexical retriever. The study does not evaluate a commercial product and does not claim that RAG is better or worse than intranet search on accuracy.</w:t>
      </w:r>
    </w:p>
    <w:p>
      <w:pPr>
        <w:pStyle w:val="berschrift1"/>
      </w:pPr>
      <w:r>
        <w:t>8. Conclusion</w:t>
      </w:r>
    </w:p>
    <w:p>
      <w:pPr/>
      <w:r>
        <w:t>Workplace RAG is being built as a knowledge-management system. It is also an informing institution. This paper specifies how information science can study that institution without reducing it to retrieval metrics: a think-aloud protocol, six tasks that force conflict, staleness, absence, and informing others, and a coding book for becoming informed, being misinformed, remaining uninformed, overtrust, and repair. Once the sessions are coded, the paper will offer a first empirical description of how employees become informed—or fail to—when the source speaks in complete sentences. That description is what ISI’s theme asks for, and it is what a method paper on agents or dashboards cannot replace.</w:t>
      </w:r>
    </w:p>
    <w:p>
      <w:pPr>
        <w:pStyle w:val="berschrift1"/>
      </w:pPr>
      <w:r>
        <w:t>Acknowledgements</w:t>
      </w:r>
    </w:p>
    <w:p>
      <w:pPr/>
      <w:r>
        <w:t>Omitted for double-blind review.</w:t>
      </w:r>
    </w:p>
    <w:p>
      <w:pPr>
        <w:pStyle w:val="berschrift1"/>
      </w:pPr>
      <w:r>
        <w:t>References</w:t>
      </w:r>
    </w:p>
    <w:p>
      <w:pPr/>
      <w:r>
        <w:t>Bates, M. J. (1989). The design of browsing and berrypicking techniques for the online search interface. Online Review, 13(5), 407–424. https://doi.org/10.1108/eb024320</w:t>
      </w:r>
    </w:p>
    <w:p>
      <w:pPr/>
      <w:r>
        <w:t>Buckland, M. (1991). Information as thing. Journal of the American Society for Information Science, 42(5), 351–360. https://doi.org/10.1002/(SICI)1097-4571(199106)42:5&lt;351::AID-ASI5&gt;3.0.CO;2-3</w:t>
      </w:r>
    </w:p>
    <w:p>
      <w:pPr/>
      <w:r>
        <w:t>Buckland, M. (2017). Information and society. MIT Press.</w:t>
      </w:r>
    </w:p>
    <w:p>
      <w:pPr/>
      <w:r>
        <w:t>Byström, K., &amp; Järvelin, K. (1995). Task complexity affects information seeking and use. Information Processing &amp; Management, 31(2), 191–213. https://doi.org/10.1016/0306-4573(95)80035-R</w:t>
      </w:r>
    </w:p>
    <w:p>
      <w:pPr/>
      <w:r>
        <w:t>Case, D. O., &amp; Given, L. M. (2016). Looking for information: A survey of research on information seeking, needs, and behavior (4th ed.). Emerald.</w:t>
      </w:r>
    </w:p>
    <w:p>
      <w:pPr/>
      <w:r>
        <w:t>Gorichanaz, T. (2025). Information needs and practices supported by ChatGPT. Proceedings of the Association for Information Science and Technology. 88th Annual Meeting of the Association for Information Science and Technology, Washington, DC, United States.</w:t>
      </w:r>
    </w:p>
    <w:p>
      <w:pPr/>
      <w:r>
        <w:t>Kuhlthau, C. C. (1991). Inside the search process: Information seeking from the user’s perspective. Journal of the American Society for Information Science, 42(5), 361–371.</w:t>
      </w:r>
    </w:p>
    <w:p>
      <w:pPr/>
      <w:r>
        <w:t>Kuhlthau, C. C. (2004). Seeking meaning: A process approach to library and information services (2nd ed.). Libraries Unlimited.</w:t>
      </w:r>
    </w:p>
    <w:p>
      <w:pPr/>
      <w:r>
        <w:t>Lewandowski, D. (2023). Understanding search engines. Springer. https://doi.org/10.1007/978-3-031-22789-9</w:t>
      </w:r>
    </w:p>
    <w:p>
      <w:pPr/>
      <w:r>
        <w:t>Lewis, P., Perez, E., Piktus, A., Petroni, F., Karpukhin, V., Goyal, N., Küttler, H., Lewis, M., Yih, W., Rocktäschel, T., Riedel, S., &amp; Kiela, D. (2020). Retrieval-augmented generation for knowledge-intensive NLP tasks. Advances in Neural Information Processing Systems, 33, 9459–9474.</w:t>
      </w:r>
    </w:p>
    <w:p>
      <w:pPr/>
      <w:r>
        <w:t>Lloyd, A. (2010). Information literacy landscapes: Information literacy in education, workplace and everyday contexts. Chandos.</w:t>
      </w:r>
    </w:p>
    <w:p>
      <w:pPr/>
      <w:r>
        <w:t>Savolainen, R. (1995). Everyday life information seeking: Approaching information seeking in the context of “way of life.” Library &amp; Information Science Research, 17(3), 259–294. https://doi.org/10.1016/0740-8188(95)90048-9</w:t>
      </w:r>
    </w:p>
    <w:p>
      <w:pPr/>
      <w:r>
        <w:t>Wilson, T. D. (1999). Models in information behaviour research. Journal of Documentation, 55(3), 249–270. https://doi.org/10.1108/EUM0000000007145</w:t>
      </w:r>
    </w:p>
    <w:p>
      <w:pPr>
        <w:pStyle w:val="berschrift1"/>
      </w:pPr>
      <w:r>
        <w:t>Appendix A. Session script (for the researcher, not for the PDF if space is tight)</w:t>
      </w:r>
    </w:p>
    <w:p>
      <w:pPr/>
      <w:r>
        <w:t>1. Consent. 2. Two-minute tour of the answer + snippet panel. 3. Think aloud: say what you are looking at and what you believe now. 4. Run T1–T6. 5. Exit: If a customer were on the phone, what would you say after T2 and after T4? 6. Thank and stop recording.</w:t>
      </w:r>
    </w:p>
    <w:sectPr w:rsidR="00411385" w:rsidRPr="00F22F14" w:rsidSect="001D04CB">
      <w:headerReference w:type="default" r:id="rId16"/>
      <w:pgSz w:w="11900" w:h="16840"/>
      <w:pgMar w:top="156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5E2A" w14:textId="77777777" w:rsidR="00387FE0" w:rsidRDefault="00387FE0" w:rsidP="003C4648">
      <w:r>
        <w:separator/>
      </w:r>
    </w:p>
  </w:endnote>
  <w:endnote w:type="continuationSeparator" w:id="0">
    <w:p w14:paraId="342F07BD" w14:textId="77777777" w:rsidR="00387FE0" w:rsidRDefault="00387FE0" w:rsidP="003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B673" w14:textId="77777777" w:rsidR="00387FE0" w:rsidRDefault="00387FE0" w:rsidP="003C4648">
      <w:r>
        <w:separator/>
      </w:r>
    </w:p>
  </w:footnote>
  <w:footnote w:type="continuationSeparator" w:id="0">
    <w:p w14:paraId="52B70D33" w14:textId="77777777" w:rsidR="00387FE0" w:rsidRDefault="00387FE0" w:rsidP="003C4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5194" w14:textId="32BA8486" w:rsidR="002D1B83" w:rsidRDefault="002647C8" w:rsidP="001D04CB">
    <w:pPr>
      <w:pStyle w:val="Kopfzeile"/>
      <w:ind w:firstLine="0"/>
    </w:pPr>
    <w:r>
      <w:rPr>
        <w:noProof/>
      </w:rPr>
      <w:drawing>
        <wp:inline distT="0" distB="0" distL="0" distR="0" wp14:anchorId="400DC5DE" wp14:editId="45056593">
          <wp:extent cx="1556077" cy="474785"/>
          <wp:effectExtent l="0" t="0" r="0" b="0"/>
          <wp:docPr id="20528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625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97237" cy="4873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FA54F770"/>
    <w:lvl w:ilvl="0" w:tplc="408EF682">
      <w:start w:val="1"/>
      <w:numFmt w:val="decimal"/>
      <w:pStyle w:val="Numberedlist"/>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6F3F21"/>
    <w:multiLevelType w:val="multilevel"/>
    <w:tmpl w:val="7354D142"/>
    <w:numStyleLink w:val="111111"/>
  </w:abstractNum>
  <w:abstractNum w:abstractNumId="13" w15:restartNumberingAfterBreak="0">
    <w:nsid w:val="0AB60B25"/>
    <w:multiLevelType w:val="multilevel"/>
    <w:tmpl w:val="9758AD48"/>
    <w:styleLink w:val="Universitiesnumberedlist"/>
    <w:lvl w:ilvl="0">
      <w:start w:val="1"/>
      <w:numFmt w:val="lowerLetter"/>
      <w:pStyle w:val="University"/>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7607C8A"/>
    <w:multiLevelType w:val="multilevel"/>
    <w:tmpl w:val="9758AD48"/>
    <w:numStyleLink w:val="Universitiesnumberedlist"/>
  </w:abstractNum>
  <w:abstractNum w:abstractNumId="15"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7663A"/>
    <w:multiLevelType w:val="multilevel"/>
    <w:tmpl w:val="7354D142"/>
    <w:styleLink w:val="111111"/>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F56BB9"/>
    <w:multiLevelType w:val="multilevel"/>
    <w:tmpl w:val="9758AD48"/>
    <w:numStyleLink w:val="Universitiesnumberedlist"/>
  </w:abstractNum>
  <w:abstractNum w:abstractNumId="18" w15:restartNumberingAfterBreak="0">
    <w:nsid w:val="3EE52556"/>
    <w:multiLevelType w:val="hybridMultilevel"/>
    <w:tmpl w:val="3B56D1D0"/>
    <w:lvl w:ilvl="0" w:tplc="A8149AAE">
      <w:start w:val="1"/>
      <w:numFmt w:val="bullet"/>
      <w:pStyle w:val="BulletedList"/>
      <w:lvlText w:val=""/>
      <w:lvlJc w:val="left"/>
      <w:pPr>
        <w:ind w:left="1004" w:hanging="360"/>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9"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2"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5"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B10B7C"/>
    <w:multiLevelType w:val="multilevel"/>
    <w:tmpl w:val="7354D142"/>
    <w:numStyleLink w:val="111111"/>
  </w:abstractNum>
  <w:num w:numId="1" w16cid:durableId="1101805357">
    <w:abstractNumId w:val="21"/>
  </w:num>
  <w:num w:numId="2" w16cid:durableId="1452437405">
    <w:abstractNumId w:val="24"/>
  </w:num>
  <w:num w:numId="3" w16cid:durableId="174269793">
    <w:abstractNumId w:val="10"/>
  </w:num>
  <w:num w:numId="4" w16cid:durableId="1679845272">
    <w:abstractNumId w:val="18"/>
  </w:num>
  <w:num w:numId="5" w16cid:durableId="1914705220">
    <w:abstractNumId w:val="20"/>
  </w:num>
  <w:num w:numId="6" w16cid:durableId="407003562">
    <w:abstractNumId w:val="11"/>
  </w:num>
  <w:num w:numId="7" w16cid:durableId="1396900324">
    <w:abstractNumId w:val="16"/>
  </w:num>
  <w:num w:numId="8" w16cid:durableId="1590044800">
    <w:abstractNumId w:val="26"/>
  </w:num>
  <w:num w:numId="9" w16cid:durableId="421991777">
    <w:abstractNumId w:val="23"/>
  </w:num>
  <w:num w:numId="10" w16cid:durableId="5442767">
    <w:abstractNumId w:val="12"/>
  </w:num>
  <w:num w:numId="11" w16cid:durableId="1267034969">
    <w:abstractNumId w:val="22"/>
  </w:num>
  <w:num w:numId="12" w16cid:durableId="1468162579">
    <w:abstractNumId w:val="19"/>
  </w:num>
  <w:num w:numId="13" w16cid:durableId="1796635461">
    <w:abstractNumId w:val="15"/>
  </w:num>
  <w:num w:numId="14" w16cid:durableId="940138177">
    <w:abstractNumId w:val="0"/>
  </w:num>
  <w:num w:numId="15" w16cid:durableId="1141923355">
    <w:abstractNumId w:val="1"/>
  </w:num>
  <w:num w:numId="16" w16cid:durableId="1032802234">
    <w:abstractNumId w:val="2"/>
  </w:num>
  <w:num w:numId="17" w16cid:durableId="115560480">
    <w:abstractNumId w:val="3"/>
  </w:num>
  <w:num w:numId="18" w16cid:durableId="1019548636">
    <w:abstractNumId w:val="8"/>
  </w:num>
  <w:num w:numId="19" w16cid:durableId="120618324">
    <w:abstractNumId w:val="4"/>
  </w:num>
  <w:num w:numId="20" w16cid:durableId="1506742914">
    <w:abstractNumId w:val="5"/>
  </w:num>
  <w:num w:numId="21" w16cid:durableId="385108819">
    <w:abstractNumId w:val="6"/>
  </w:num>
  <w:num w:numId="22" w16cid:durableId="244387278">
    <w:abstractNumId w:val="7"/>
  </w:num>
  <w:num w:numId="23" w16cid:durableId="1268349078">
    <w:abstractNumId w:val="9"/>
  </w:num>
  <w:num w:numId="24" w16cid:durableId="309214623">
    <w:abstractNumId w:val="25"/>
  </w:num>
  <w:num w:numId="25" w16cid:durableId="1180314509">
    <w:abstractNumId w:val="13"/>
  </w:num>
  <w:num w:numId="26" w16cid:durableId="470484614">
    <w:abstractNumId w:val="17"/>
  </w:num>
  <w:num w:numId="27" w16cid:durableId="1740009774">
    <w:abstractNumId w:val="14"/>
    <w:lvlOverride w:ilvl="0">
      <w:lvl w:ilvl="0">
        <w:start w:val="1"/>
        <w:numFmt w:val="lowerLetter"/>
        <w:pStyle w:val="University"/>
        <w:lvlText w:val="%1"/>
        <w:lvlJc w:val="left"/>
        <w:pPr>
          <w:ind w:left="360" w:hanging="360"/>
        </w:pPr>
        <w:rPr>
          <w:rFonts w:ascii="Times New Roman" w:hAnsi="Times New Roman"/>
          <w:i/>
          <w:sz w:val="20"/>
          <w:u w:val="none"/>
          <w:vertAlign w:val="superscrip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17273"/>
    <w:rsid w:val="00026CE0"/>
    <w:rsid w:val="00055456"/>
    <w:rsid w:val="000649C3"/>
    <w:rsid w:val="0006530D"/>
    <w:rsid w:val="000A57FC"/>
    <w:rsid w:val="000C18F1"/>
    <w:rsid w:val="000C4B12"/>
    <w:rsid w:val="000E19F4"/>
    <w:rsid w:val="00101406"/>
    <w:rsid w:val="00107E6E"/>
    <w:rsid w:val="0011343D"/>
    <w:rsid w:val="0013332E"/>
    <w:rsid w:val="0013370C"/>
    <w:rsid w:val="00183E04"/>
    <w:rsid w:val="001865DA"/>
    <w:rsid w:val="00193A9F"/>
    <w:rsid w:val="00196E4F"/>
    <w:rsid w:val="001C661A"/>
    <w:rsid w:val="001D04CB"/>
    <w:rsid w:val="001D3E08"/>
    <w:rsid w:val="001D5AC0"/>
    <w:rsid w:val="001F6B02"/>
    <w:rsid w:val="00240241"/>
    <w:rsid w:val="002647C8"/>
    <w:rsid w:val="00266728"/>
    <w:rsid w:val="00280109"/>
    <w:rsid w:val="00292547"/>
    <w:rsid w:val="002A4593"/>
    <w:rsid w:val="002A79E8"/>
    <w:rsid w:val="002D1B83"/>
    <w:rsid w:val="003459E3"/>
    <w:rsid w:val="003832F7"/>
    <w:rsid w:val="00387FE0"/>
    <w:rsid w:val="0039617C"/>
    <w:rsid w:val="00396364"/>
    <w:rsid w:val="003A2840"/>
    <w:rsid w:val="003A4DA5"/>
    <w:rsid w:val="003C4648"/>
    <w:rsid w:val="003D59AE"/>
    <w:rsid w:val="00411385"/>
    <w:rsid w:val="00436E15"/>
    <w:rsid w:val="00444904"/>
    <w:rsid w:val="0045094E"/>
    <w:rsid w:val="00464033"/>
    <w:rsid w:val="00483EC3"/>
    <w:rsid w:val="00484DC0"/>
    <w:rsid w:val="004A5160"/>
    <w:rsid w:val="004A5AF2"/>
    <w:rsid w:val="004A7F5B"/>
    <w:rsid w:val="004C17BF"/>
    <w:rsid w:val="004D4517"/>
    <w:rsid w:val="004D7ECC"/>
    <w:rsid w:val="004F428B"/>
    <w:rsid w:val="00520A64"/>
    <w:rsid w:val="00520F5C"/>
    <w:rsid w:val="00570070"/>
    <w:rsid w:val="00597E64"/>
    <w:rsid w:val="005F42E4"/>
    <w:rsid w:val="00654E76"/>
    <w:rsid w:val="00666F87"/>
    <w:rsid w:val="00686668"/>
    <w:rsid w:val="006D50BA"/>
    <w:rsid w:val="006E20F2"/>
    <w:rsid w:val="006F047C"/>
    <w:rsid w:val="007048C5"/>
    <w:rsid w:val="00734587"/>
    <w:rsid w:val="00767585"/>
    <w:rsid w:val="00774972"/>
    <w:rsid w:val="00785680"/>
    <w:rsid w:val="00791443"/>
    <w:rsid w:val="007E3E9A"/>
    <w:rsid w:val="008353B3"/>
    <w:rsid w:val="00841EE7"/>
    <w:rsid w:val="00857FAF"/>
    <w:rsid w:val="00867369"/>
    <w:rsid w:val="0088609D"/>
    <w:rsid w:val="008A7BEF"/>
    <w:rsid w:val="008E618E"/>
    <w:rsid w:val="008F4ABE"/>
    <w:rsid w:val="00916897"/>
    <w:rsid w:val="009353B7"/>
    <w:rsid w:val="009466B9"/>
    <w:rsid w:val="00976D3D"/>
    <w:rsid w:val="0099699C"/>
    <w:rsid w:val="009C4352"/>
    <w:rsid w:val="009E4DD5"/>
    <w:rsid w:val="00A02276"/>
    <w:rsid w:val="00A044B9"/>
    <w:rsid w:val="00A371A2"/>
    <w:rsid w:val="00A52BAB"/>
    <w:rsid w:val="00A60B37"/>
    <w:rsid w:val="00A7659E"/>
    <w:rsid w:val="00A975A3"/>
    <w:rsid w:val="00AB1AEE"/>
    <w:rsid w:val="00AB2E83"/>
    <w:rsid w:val="00B561A5"/>
    <w:rsid w:val="00B75E18"/>
    <w:rsid w:val="00BE4706"/>
    <w:rsid w:val="00BF53B9"/>
    <w:rsid w:val="00C116AE"/>
    <w:rsid w:val="00C11818"/>
    <w:rsid w:val="00C16206"/>
    <w:rsid w:val="00C163BB"/>
    <w:rsid w:val="00C2161C"/>
    <w:rsid w:val="00C31F0A"/>
    <w:rsid w:val="00C52ABA"/>
    <w:rsid w:val="00C539A9"/>
    <w:rsid w:val="00C6468F"/>
    <w:rsid w:val="00C662E2"/>
    <w:rsid w:val="00C8605E"/>
    <w:rsid w:val="00CB0A9A"/>
    <w:rsid w:val="00CB6D5E"/>
    <w:rsid w:val="00CC0852"/>
    <w:rsid w:val="00CF2CFB"/>
    <w:rsid w:val="00CF5B20"/>
    <w:rsid w:val="00D05558"/>
    <w:rsid w:val="00D128F4"/>
    <w:rsid w:val="00D30BCC"/>
    <w:rsid w:val="00D36265"/>
    <w:rsid w:val="00D5050F"/>
    <w:rsid w:val="00DC0782"/>
    <w:rsid w:val="00DC2B79"/>
    <w:rsid w:val="00DD4755"/>
    <w:rsid w:val="00DF0DD6"/>
    <w:rsid w:val="00DF71D3"/>
    <w:rsid w:val="00E27722"/>
    <w:rsid w:val="00E34379"/>
    <w:rsid w:val="00E41F5A"/>
    <w:rsid w:val="00E440C3"/>
    <w:rsid w:val="00E515C1"/>
    <w:rsid w:val="00E642FA"/>
    <w:rsid w:val="00E90FCD"/>
    <w:rsid w:val="00EA29D9"/>
    <w:rsid w:val="00EB39E9"/>
    <w:rsid w:val="00EE7421"/>
    <w:rsid w:val="00F01422"/>
    <w:rsid w:val="00F22F14"/>
    <w:rsid w:val="00F3599B"/>
    <w:rsid w:val="00F768E3"/>
    <w:rsid w:val="00F943ED"/>
    <w:rsid w:val="00FA4539"/>
    <w:rsid w:val="00FC58AF"/>
    <w:rsid w:val="00FE46DB"/>
    <w:rsid w:val="00FF0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15:docId w15:val="{73D0202E-17ED-2048-98DB-E98444A0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4648"/>
    <w:pPr>
      <w:ind w:firstLine="284"/>
      <w:jc w:val="both"/>
    </w:pPr>
    <w:rPr>
      <w:rFonts w:ascii="Times New Roman" w:eastAsia="Times New Roman" w:hAnsi="Times New Roman" w:cs="Times New Roman"/>
      <w:sz w:val="22"/>
      <w:szCs w:val="22"/>
      <w:lang w:eastAsia="en-GB"/>
    </w:rPr>
  </w:style>
  <w:style w:type="paragraph" w:styleId="berschrift1">
    <w:name w:val="heading 1"/>
    <w:basedOn w:val="Standard"/>
    <w:next w:val="Standard"/>
    <w:link w:val="berschrift1Zchn"/>
    <w:uiPriority w:val="9"/>
    <w:qFormat/>
    <w:rsid w:val="00785680"/>
    <w:pPr>
      <w:numPr>
        <w:numId w:val="8"/>
      </w:numPr>
      <w:spacing w:before="100" w:beforeAutospacing="1" w:after="100" w:afterAutospacing="1"/>
      <w:outlineLvl w:val="0"/>
    </w:pPr>
    <w:rPr>
      <w:rFonts w:ascii="Calibri" w:hAnsi="Calibri" w:cs="Calibri"/>
      <w:b/>
      <w:bCs/>
      <w:sz w:val="28"/>
      <w:szCs w:val="28"/>
    </w:rPr>
  </w:style>
  <w:style w:type="paragraph" w:styleId="berschrift2">
    <w:name w:val="heading 2"/>
    <w:basedOn w:val="berschrift1"/>
    <w:next w:val="Standard"/>
    <w:link w:val="berschrift2Zchn"/>
    <w:uiPriority w:val="9"/>
    <w:unhideWhenUsed/>
    <w:qFormat/>
    <w:rsid w:val="00785680"/>
    <w:pPr>
      <w:numPr>
        <w:ilvl w:val="1"/>
      </w:numPr>
      <w:ind w:left="0" w:firstLine="0"/>
      <w:outlineLvl w:val="1"/>
    </w:pPr>
  </w:style>
  <w:style w:type="paragraph" w:styleId="berschrift3">
    <w:name w:val="heading 3"/>
    <w:basedOn w:val="berschrift2"/>
    <w:next w:val="Standard"/>
    <w:link w:val="berschrift3Zchn"/>
    <w:uiPriority w:val="9"/>
    <w:unhideWhenUsed/>
    <w:qFormat/>
    <w:rsid w:val="00DD4755"/>
    <w:pPr>
      <w:numPr>
        <w:ilvl w:val="2"/>
      </w:numPr>
      <w:ind w:left="0" w:firstLine="0"/>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reference">
    <w:name w:val="reference"/>
    <w:basedOn w:val="Standard"/>
    <w:qFormat/>
    <w:rsid w:val="004F428B"/>
    <w:pPr>
      <w:numPr>
        <w:numId w:val="24"/>
      </w:numPr>
      <w:tabs>
        <w:tab w:val="num" w:pos="360"/>
      </w:tabs>
      <w:ind w:left="426" w:hanging="426"/>
    </w:pPr>
  </w:style>
  <w:style w:type="paragraph" w:styleId="Funotentext">
    <w:name w:val="footnote text"/>
    <w:basedOn w:val="Standard"/>
    <w:link w:val="FunotentextZchn"/>
    <w:uiPriority w:val="99"/>
    <w:unhideWhenUsed/>
    <w:rsid w:val="00734587"/>
    <w:pPr>
      <w:ind w:firstLine="0"/>
    </w:pPr>
    <w:rPr>
      <w:sz w:val="16"/>
      <w:szCs w:val="20"/>
    </w:rPr>
  </w:style>
  <w:style w:type="character" w:customStyle="1" w:styleId="FunotentextZchn">
    <w:name w:val="Fußnotentext Zchn"/>
    <w:basedOn w:val="Absatz-Standardschriftart"/>
    <w:link w:val="Funotentext"/>
    <w:uiPriority w:val="99"/>
    <w:rsid w:val="00734587"/>
    <w:rPr>
      <w:rFonts w:ascii="Times New Roman" w:eastAsia="Times New Roman" w:hAnsi="Times New Roman" w:cs="Times New Roman"/>
      <w:sz w:val="16"/>
      <w:szCs w:val="20"/>
      <w:lang w:eastAsia="en-GB"/>
    </w:rPr>
  </w:style>
  <w:style w:type="character" w:styleId="Funotenzeichen">
    <w:name w:val="footnote reference"/>
    <w:basedOn w:val="Absatz-Standardschriftart"/>
    <w:uiPriority w:val="99"/>
    <w:semiHidden/>
    <w:unhideWhenUsed/>
    <w:rsid w:val="00520F5C"/>
    <w:rPr>
      <w:vertAlign w:val="superscript"/>
    </w:rPr>
  </w:style>
  <w:style w:type="table" w:styleId="Tabellenraster">
    <w:name w:val="Table Grid"/>
    <w:basedOn w:val="NormaleTabelle"/>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Standard"/>
    <w:qFormat/>
    <w:rsid w:val="000649C3"/>
    <w:pPr>
      <w:numPr>
        <w:numId w:val="3"/>
      </w:numPr>
      <w:ind w:left="284" w:firstLine="0"/>
      <w:contextualSpacing/>
    </w:pPr>
  </w:style>
  <w:style w:type="character" w:customStyle="1" w:styleId="berschrift1Zchn">
    <w:name w:val="Überschrift 1 Zchn"/>
    <w:basedOn w:val="Absatz-Standardschriftart"/>
    <w:link w:val="berschrift1"/>
    <w:uiPriority w:val="9"/>
    <w:rsid w:val="00785680"/>
    <w:rPr>
      <w:rFonts w:ascii="Calibri" w:eastAsia="Times New Roman" w:hAnsi="Calibri" w:cs="Calibri"/>
      <w:b/>
      <w:bCs/>
      <w:sz w:val="28"/>
      <w:szCs w:val="28"/>
      <w:lang w:eastAsia="en-GB"/>
    </w:rPr>
  </w:style>
  <w:style w:type="paragraph" w:styleId="Titel">
    <w:name w:val="Title"/>
    <w:basedOn w:val="Standard"/>
    <w:next w:val="Standard"/>
    <w:link w:val="TitelZchn"/>
    <w:uiPriority w:val="10"/>
    <w:qFormat/>
    <w:rsid w:val="003C4648"/>
    <w:pPr>
      <w:ind w:firstLine="0"/>
    </w:pPr>
    <w:rPr>
      <w:rFonts w:ascii="Calibri" w:hAnsi="Calibri" w:cs="Calibri"/>
      <w:b/>
      <w:bCs/>
      <w:sz w:val="34"/>
      <w:szCs w:val="34"/>
    </w:rPr>
  </w:style>
  <w:style w:type="character" w:customStyle="1" w:styleId="TitelZchn">
    <w:name w:val="Titel Zchn"/>
    <w:basedOn w:val="Absatz-Standardschriftart"/>
    <w:link w:val="Titel"/>
    <w:uiPriority w:val="10"/>
    <w:rsid w:val="003C4648"/>
    <w:rPr>
      <w:rFonts w:ascii="Calibri" w:eastAsia="Times New Roman" w:hAnsi="Calibri" w:cs="Calibri"/>
      <w:b/>
      <w:bCs/>
      <w:sz w:val="34"/>
      <w:szCs w:val="34"/>
      <w:lang w:val="en-US" w:eastAsia="en-GB"/>
    </w:rPr>
  </w:style>
  <w:style w:type="paragraph" w:customStyle="1" w:styleId="BulletedList">
    <w:name w:val="Bulleted List"/>
    <w:basedOn w:val="Numberedlist"/>
    <w:qFormat/>
    <w:rsid w:val="003C4648"/>
    <w:pPr>
      <w:numPr>
        <w:numId w:val="4"/>
      </w:numPr>
      <w:ind w:left="284" w:firstLine="0"/>
    </w:pPr>
  </w:style>
  <w:style w:type="paragraph" w:customStyle="1" w:styleId="AbstractTitle">
    <w:name w:val="Abstract Title"/>
    <w:basedOn w:val="Standard"/>
    <w:qFormat/>
    <w:rsid w:val="00785680"/>
    <w:pPr>
      <w:ind w:left="709" w:firstLine="425"/>
    </w:pPr>
    <w:rPr>
      <w:rFonts w:ascii="Calibri" w:hAnsi="Calibri" w:cs="Calibri"/>
      <w:b/>
      <w:bCs/>
    </w:rPr>
  </w:style>
  <w:style w:type="paragraph" w:customStyle="1" w:styleId="University">
    <w:name w:val="University"/>
    <w:basedOn w:val="Standard"/>
    <w:qFormat/>
    <w:rsid w:val="005F42E4"/>
    <w:pPr>
      <w:numPr>
        <w:numId w:val="27"/>
      </w:numPr>
      <w:ind w:left="142" w:hanging="142"/>
    </w:pPr>
    <w:rPr>
      <w:i/>
      <w:iCs/>
      <w:sz w:val="20"/>
      <w:szCs w:val="20"/>
    </w:rPr>
  </w:style>
  <w:style w:type="paragraph" w:customStyle="1" w:styleId="AbstractText">
    <w:name w:val="Abstract Text"/>
    <w:basedOn w:val="Standard"/>
    <w:qFormat/>
    <w:rsid w:val="00785680"/>
    <w:pPr>
      <w:ind w:left="1134" w:firstLine="0"/>
    </w:pPr>
    <w:rPr>
      <w:sz w:val="21"/>
      <w:szCs w:val="21"/>
    </w:rPr>
  </w:style>
  <w:style w:type="paragraph" w:customStyle="1" w:styleId="Authors">
    <w:name w:val="Authors"/>
    <w:basedOn w:val="Standard"/>
    <w:qFormat/>
    <w:rsid w:val="003C4648"/>
    <w:pPr>
      <w:ind w:firstLine="0"/>
    </w:pPr>
    <w:rPr>
      <w:color w:val="7F7F7F"/>
      <w:sz w:val="24"/>
      <w:szCs w:val="24"/>
    </w:rPr>
  </w:style>
  <w:style w:type="character" w:customStyle="1" w:styleId="berschrift2Zchn">
    <w:name w:val="Überschrift 2 Zchn"/>
    <w:basedOn w:val="Absatz-Standardschriftart"/>
    <w:link w:val="berschrift2"/>
    <w:uiPriority w:val="9"/>
    <w:rsid w:val="00785680"/>
    <w:rPr>
      <w:rFonts w:ascii="Calibri" w:eastAsia="Times New Roman" w:hAnsi="Calibri" w:cs="Calibri"/>
      <w:b/>
      <w:bCs/>
      <w:sz w:val="28"/>
      <w:szCs w:val="28"/>
      <w:lang w:val="en-US" w:eastAsia="en-GB"/>
    </w:rPr>
  </w:style>
  <w:style w:type="paragraph" w:customStyle="1" w:styleId="Tablenumber">
    <w:name w:val="Table number"/>
    <w:basedOn w:val="Standard"/>
    <w:next w:val="Tablecontent"/>
    <w:qFormat/>
    <w:rsid w:val="00785680"/>
    <w:pPr>
      <w:ind w:firstLine="0"/>
    </w:pPr>
    <w:rPr>
      <w:rFonts w:ascii="Calibri" w:hAnsi="Calibri" w:cs="Calibri"/>
      <w:b/>
      <w:bCs/>
    </w:rPr>
  </w:style>
  <w:style w:type="paragraph" w:customStyle="1" w:styleId="Tablecontent">
    <w:name w:val="Table content"/>
    <w:basedOn w:val="Tablenumber"/>
    <w:qFormat/>
    <w:rsid w:val="00A044B9"/>
    <w:pPr>
      <w:jc w:val="center"/>
    </w:pPr>
    <w:rPr>
      <w:rFonts w:ascii="Times New Roman" w:hAnsi="Times New Roman" w:cs="Times New Roman"/>
      <w:b w:val="0"/>
      <w:bCs w:val="0"/>
      <w:lang w:val="de-DE"/>
    </w:rPr>
  </w:style>
  <w:style w:type="numbering" w:styleId="111111">
    <w:name w:val="Outline List 2"/>
    <w:basedOn w:val="KeineListe"/>
    <w:uiPriority w:val="99"/>
    <w:semiHidden/>
    <w:unhideWhenUsed/>
    <w:rsid w:val="00785680"/>
    <w:pPr>
      <w:numPr>
        <w:numId w:val="7"/>
      </w:numPr>
    </w:pPr>
  </w:style>
  <w:style w:type="table" w:customStyle="1" w:styleId="Style1">
    <w:name w:val="Style1"/>
    <w:basedOn w:val="NormaleTabelle"/>
    <w:uiPriority w:val="99"/>
    <w:rsid w:val="00DF0DD6"/>
    <w:rPr>
      <w:rFonts w:ascii="Times New Roman" w:hAnsi="Times New Roman"/>
    </w:rPr>
    <w:tblPr/>
  </w:style>
  <w:style w:type="paragraph" w:customStyle="1" w:styleId="Abbildung">
    <w:name w:val="Abbildung"/>
    <w:basedOn w:val="Standard"/>
    <w:qFormat/>
    <w:rsid w:val="004A7F5B"/>
    <w:pPr>
      <w:ind w:firstLine="0"/>
      <w:jc w:val="center"/>
    </w:pPr>
    <w:rPr>
      <w:noProof/>
    </w:rPr>
  </w:style>
  <w:style w:type="paragraph" w:customStyle="1" w:styleId="Bildunterschrift">
    <w:name w:val="Bildunterschrift"/>
    <w:basedOn w:val="Standard"/>
    <w:next w:val="Standard"/>
    <w:qFormat/>
    <w:rsid w:val="00E27722"/>
    <w:pPr>
      <w:ind w:left="284" w:firstLine="0"/>
    </w:pPr>
    <w:rPr>
      <w:lang w:val="de-DE"/>
    </w:rPr>
  </w:style>
  <w:style w:type="character" w:styleId="Hyperlink">
    <w:name w:val="Hyperlink"/>
    <w:basedOn w:val="Absatz-Standardschriftart"/>
    <w:uiPriority w:val="99"/>
    <w:unhideWhenUsed/>
    <w:rsid w:val="000649C3"/>
    <w:rPr>
      <w:color w:val="000000" w:themeColor="text1"/>
      <w:u w:val="single"/>
    </w:rPr>
  </w:style>
  <w:style w:type="character" w:styleId="Platzhaltertext">
    <w:name w:val="Placeholder Text"/>
    <w:basedOn w:val="Absatz-Standardschriftart"/>
    <w:uiPriority w:val="99"/>
    <w:semiHidden/>
    <w:rsid w:val="00DF0DD6"/>
    <w:rPr>
      <w:color w:val="808080"/>
    </w:rPr>
  </w:style>
  <w:style w:type="paragraph" w:styleId="Beschriftung">
    <w:name w:val="caption"/>
    <w:basedOn w:val="Standard"/>
    <w:next w:val="Standard"/>
    <w:uiPriority w:val="35"/>
    <w:unhideWhenUsed/>
    <w:qFormat/>
    <w:rsid w:val="00DD4755"/>
    <w:pPr>
      <w:spacing w:after="200"/>
    </w:pPr>
    <w:rPr>
      <w:i/>
      <w:iCs/>
      <w:color w:val="44546A" w:themeColor="text2"/>
      <w:sz w:val="18"/>
      <w:szCs w:val="18"/>
    </w:rPr>
  </w:style>
  <w:style w:type="character" w:customStyle="1" w:styleId="berschrift3Zchn">
    <w:name w:val="Überschrift 3 Zchn"/>
    <w:basedOn w:val="Absatz-Standardschriftart"/>
    <w:link w:val="berschrift3"/>
    <w:uiPriority w:val="9"/>
    <w:rsid w:val="00DD4755"/>
    <w:rPr>
      <w:rFonts w:ascii="Calibri" w:eastAsia="Times New Roman" w:hAnsi="Calibri" w:cs="Calibri"/>
      <w:b/>
      <w:bCs/>
      <w:sz w:val="28"/>
      <w:szCs w:val="28"/>
      <w:lang w:val="en-US" w:eastAsia="en-GB"/>
    </w:rPr>
  </w:style>
  <w:style w:type="paragraph" w:styleId="StandardWeb">
    <w:name w:val="Normal (Web)"/>
    <w:basedOn w:val="Standard"/>
    <w:uiPriority w:val="99"/>
    <w:semiHidden/>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Kopfzeile">
    <w:name w:val="header"/>
    <w:basedOn w:val="Standard"/>
    <w:link w:val="KopfzeileZchn"/>
    <w:uiPriority w:val="99"/>
    <w:unhideWhenUsed/>
    <w:rsid w:val="002647C8"/>
    <w:pPr>
      <w:tabs>
        <w:tab w:val="center" w:pos="4513"/>
        <w:tab w:val="right" w:pos="9026"/>
      </w:tabs>
    </w:pPr>
  </w:style>
  <w:style w:type="character" w:customStyle="1" w:styleId="KopfzeileZchn">
    <w:name w:val="Kopfzeile Zchn"/>
    <w:basedOn w:val="Absatz-Standardschriftart"/>
    <w:link w:val="Kopfzeile"/>
    <w:uiPriority w:val="99"/>
    <w:rsid w:val="002647C8"/>
    <w:rPr>
      <w:rFonts w:ascii="Times New Roman" w:eastAsia="Times New Roman" w:hAnsi="Times New Roman" w:cs="Times New Roman"/>
      <w:sz w:val="22"/>
      <w:szCs w:val="22"/>
      <w:lang w:eastAsia="en-GB"/>
    </w:rPr>
  </w:style>
  <w:style w:type="paragraph" w:styleId="Fuzeile">
    <w:name w:val="footer"/>
    <w:basedOn w:val="Standard"/>
    <w:link w:val="FuzeileZchn"/>
    <w:uiPriority w:val="99"/>
    <w:unhideWhenUsed/>
    <w:rsid w:val="002647C8"/>
    <w:pPr>
      <w:tabs>
        <w:tab w:val="center" w:pos="4513"/>
        <w:tab w:val="right" w:pos="9026"/>
      </w:tabs>
    </w:pPr>
  </w:style>
  <w:style w:type="character" w:customStyle="1" w:styleId="FuzeileZchn">
    <w:name w:val="Fußzeile Zchn"/>
    <w:basedOn w:val="Absatz-Standardschriftart"/>
    <w:link w:val="Fuzeile"/>
    <w:uiPriority w:val="99"/>
    <w:rsid w:val="002647C8"/>
    <w:rPr>
      <w:rFonts w:ascii="Times New Roman" w:eastAsia="Times New Roman" w:hAnsi="Times New Roman" w:cs="Times New Roman"/>
      <w:sz w:val="22"/>
      <w:szCs w:val="22"/>
      <w:lang w:eastAsia="en-GB"/>
    </w:rPr>
  </w:style>
  <w:style w:type="character" w:styleId="NichtaufgelsteErwhnung">
    <w:name w:val="Unresolved Mention"/>
    <w:basedOn w:val="Absatz-Standardschriftart"/>
    <w:uiPriority w:val="99"/>
    <w:semiHidden/>
    <w:unhideWhenUsed/>
    <w:rsid w:val="00411385"/>
    <w:rPr>
      <w:color w:val="605E5C"/>
      <w:shd w:val="clear" w:color="auto" w:fill="E1DFDD"/>
    </w:rPr>
  </w:style>
  <w:style w:type="character" w:styleId="Kommentarzeichen">
    <w:name w:val="annotation reference"/>
    <w:basedOn w:val="Absatz-Standardschriftart"/>
    <w:uiPriority w:val="99"/>
    <w:semiHidden/>
    <w:unhideWhenUsed/>
    <w:rsid w:val="00193A9F"/>
    <w:rPr>
      <w:sz w:val="16"/>
      <w:szCs w:val="16"/>
    </w:rPr>
  </w:style>
  <w:style w:type="paragraph" w:styleId="Kommentartext">
    <w:name w:val="annotation text"/>
    <w:basedOn w:val="Standard"/>
    <w:link w:val="KommentartextZchn"/>
    <w:uiPriority w:val="99"/>
    <w:semiHidden/>
    <w:unhideWhenUsed/>
    <w:rsid w:val="00193A9F"/>
    <w:rPr>
      <w:sz w:val="20"/>
      <w:szCs w:val="20"/>
    </w:rPr>
  </w:style>
  <w:style w:type="character" w:customStyle="1" w:styleId="KommentartextZchn">
    <w:name w:val="Kommentartext Zchn"/>
    <w:basedOn w:val="Absatz-Standardschriftart"/>
    <w:link w:val="Kommentartext"/>
    <w:uiPriority w:val="99"/>
    <w:semiHidden/>
    <w:rsid w:val="00193A9F"/>
    <w:rPr>
      <w:rFonts w:ascii="Times New Roman" w:eastAsia="Times New Roman" w:hAnsi="Times New Roman" w:cs="Times New Roman"/>
      <w:sz w:val="20"/>
      <w:szCs w:val="20"/>
      <w:lang w:eastAsia="en-GB"/>
    </w:rPr>
  </w:style>
  <w:style w:type="paragraph" w:styleId="Kommentarthema">
    <w:name w:val="annotation subject"/>
    <w:basedOn w:val="Kommentartext"/>
    <w:next w:val="Kommentartext"/>
    <w:link w:val="KommentarthemaZchn"/>
    <w:uiPriority w:val="99"/>
    <w:semiHidden/>
    <w:unhideWhenUsed/>
    <w:rsid w:val="00193A9F"/>
    <w:rPr>
      <w:b/>
      <w:bCs/>
    </w:rPr>
  </w:style>
  <w:style w:type="character" w:customStyle="1" w:styleId="KommentarthemaZchn">
    <w:name w:val="Kommentarthema Zchn"/>
    <w:basedOn w:val="KommentartextZchn"/>
    <w:link w:val="Kommentarthema"/>
    <w:uiPriority w:val="99"/>
    <w:semiHidden/>
    <w:rsid w:val="00193A9F"/>
    <w:rPr>
      <w:rFonts w:ascii="Times New Roman" w:eastAsia="Times New Roman" w:hAnsi="Times New Roman" w:cs="Times New Roman"/>
      <w:b/>
      <w:bCs/>
      <w:sz w:val="20"/>
      <w:szCs w:val="20"/>
      <w:lang w:eastAsia="en-GB"/>
    </w:rPr>
  </w:style>
  <w:style w:type="character" w:styleId="BesuchterLink">
    <w:name w:val="FollowedHyperlink"/>
    <w:basedOn w:val="Absatz-Standardschriftart"/>
    <w:uiPriority w:val="99"/>
    <w:semiHidden/>
    <w:unhideWhenUsed/>
    <w:rsid w:val="00444904"/>
    <w:rPr>
      <w:color w:val="954F72" w:themeColor="followedHyperlink"/>
      <w:u w:val="single"/>
    </w:rPr>
  </w:style>
  <w:style w:type="paragraph" w:customStyle="1" w:styleId="Tabellenberschrift">
    <w:name w:val="Tabellenüberschrift"/>
    <w:basedOn w:val="Tablenumber"/>
    <w:qFormat/>
    <w:rsid w:val="00867369"/>
    <w:rPr>
      <w:rFonts w:ascii="Times New Roman" w:hAnsi="Times New Roman" w:cs="Times New Roman"/>
      <w:b w:val="0"/>
      <w:bCs w:val="0"/>
    </w:rPr>
  </w:style>
  <w:style w:type="paragraph" w:customStyle="1" w:styleId="Autorname">
    <w:name w:val="Autorname"/>
    <w:basedOn w:val="Standard"/>
    <w:qFormat/>
    <w:rsid w:val="00666F87"/>
    <w:pPr>
      <w:ind w:firstLine="0"/>
    </w:pPr>
    <w:rPr>
      <w:color w:val="000000" w:themeColor="text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10133">
      <w:bodyDiv w:val="1"/>
      <w:marLeft w:val="0"/>
      <w:marRight w:val="0"/>
      <w:marTop w:val="0"/>
      <w:marBottom w:val="0"/>
      <w:divBdr>
        <w:top w:val="none" w:sz="0" w:space="0" w:color="auto"/>
        <w:left w:val="none" w:sz="0" w:space="0" w:color="auto"/>
        <w:bottom w:val="none" w:sz="0" w:space="0" w:color="auto"/>
        <w:right w:val="none" w:sz="0" w:space="0" w:color="auto"/>
      </w:divBdr>
      <w:divsChild>
        <w:div w:id="52773253">
          <w:marLeft w:val="480"/>
          <w:marRight w:val="0"/>
          <w:marTop w:val="0"/>
          <w:marBottom w:val="0"/>
          <w:divBdr>
            <w:top w:val="none" w:sz="0" w:space="0" w:color="auto"/>
            <w:left w:val="none" w:sz="0" w:space="0" w:color="auto"/>
            <w:bottom w:val="none" w:sz="0" w:space="0" w:color="auto"/>
            <w:right w:val="none" w:sz="0" w:space="0" w:color="auto"/>
          </w:divBdr>
          <w:divsChild>
            <w:div w:id="3031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0783">
      <w:bodyDiv w:val="1"/>
      <w:marLeft w:val="0"/>
      <w:marRight w:val="0"/>
      <w:marTop w:val="0"/>
      <w:marBottom w:val="0"/>
      <w:divBdr>
        <w:top w:val="none" w:sz="0" w:space="0" w:color="auto"/>
        <w:left w:val="none" w:sz="0" w:space="0" w:color="auto"/>
        <w:bottom w:val="none" w:sz="0" w:space="0" w:color="auto"/>
        <w:right w:val="none" w:sz="0" w:space="0" w:color="auto"/>
      </w:divBdr>
      <w:divsChild>
        <w:div w:id="1922592960">
          <w:marLeft w:val="480"/>
          <w:marRight w:val="0"/>
          <w:marTop w:val="0"/>
          <w:marBottom w:val="0"/>
          <w:divBdr>
            <w:top w:val="none" w:sz="0" w:space="0" w:color="auto"/>
            <w:left w:val="none" w:sz="0" w:space="0" w:color="auto"/>
            <w:bottom w:val="none" w:sz="0" w:space="0" w:color="auto"/>
            <w:right w:val="none" w:sz="0" w:space="0" w:color="auto"/>
          </w:divBdr>
          <w:divsChild>
            <w:div w:id="19708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4509">
      <w:bodyDiv w:val="1"/>
      <w:marLeft w:val="0"/>
      <w:marRight w:val="0"/>
      <w:marTop w:val="0"/>
      <w:marBottom w:val="0"/>
      <w:divBdr>
        <w:top w:val="none" w:sz="0" w:space="0" w:color="auto"/>
        <w:left w:val="none" w:sz="0" w:space="0" w:color="auto"/>
        <w:bottom w:val="none" w:sz="0" w:space="0" w:color="auto"/>
        <w:right w:val="none" w:sz="0" w:space="0" w:color="auto"/>
      </w:divBdr>
      <w:divsChild>
        <w:div w:id="2125223847">
          <w:marLeft w:val="480"/>
          <w:marRight w:val="0"/>
          <w:marTop w:val="0"/>
          <w:marBottom w:val="0"/>
          <w:divBdr>
            <w:top w:val="none" w:sz="0" w:space="0" w:color="auto"/>
            <w:left w:val="none" w:sz="0" w:space="0" w:color="auto"/>
            <w:bottom w:val="none" w:sz="0" w:space="0" w:color="auto"/>
            <w:right w:val="none" w:sz="0" w:space="0" w:color="auto"/>
          </w:divBdr>
          <w:divsChild>
            <w:div w:id="2457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3403">
      <w:bodyDiv w:val="1"/>
      <w:marLeft w:val="0"/>
      <w:marRight w:val="0"/>
      <w:marTop w:val="0"/>
      <w:marBottom w:val="0"/>
      <w:divBdr>
        <w:top w:val="none" w:sz="0" w:space="0" w:color="auto"/>
        <w:left w:val="none" w:sz="0" w:space="0" w:color="auto"/>
        <w:bottom w:val="none" w:sz="0" w:space="0" w:color="auto"/>
        <w:right w:val="none" w:sz="0" w:space="0" w:color="auto"/>
      </w:divBdr>
      <w:divsChild>
        <w:div w:id="409960352">
          <w:marLeft w:val="480"/>
          <w:marRight w:val="0"/>
          <w:marTop w:val="0"/>
          <w:marBottom w:val="0"/>
          <w:divBdr>
            <w:top w:val="none" w:sz="0" w:space="0" w:color="auto"/>
            <w:left w:val="none" w:sz="0" w:space="0" w:color="auto"/>
            <w:bottom w:val="none" w:sz="0" w:space="0" w:color="auto"/>
            <w:right w:val="none" w:sz="0" w:space="0" w:color="auto"/>
          </w:divBdr>
          <w:divsChild>
            <w:div w:id="153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1254">
      <w:bodyDiv w:val="1"/>
      <w:marLeft w:val="0"/>
      <w:marRight w:val="0"/>
      <w:marTop w:val="0"/>
      <w:marBottom w:val="0"/>
      <w:divBdr>
        <w:top w:val="none" w:sz="0" w:space="0" w:color="auto"/>
        <w:left w:val="none" w:sz="0" w:space="0" w:color="auto"/>
        <w:bottom w:val="none" w:sz="0" w:space="0" w:color="auto"/>
        <w:right w:val="none" w:sz="0" w:space="0" w:color="auto"/>
      </w:divBdr>
      <w:divsChild>
        <w:div w:id="1156072481">
          <w:marLeft w:val="480"/>
          <w:marRight w:val="0"/>
          <w:marTop w:val="0"/>
          <w:marBottom w:val="0"/>
          <w:divBdr>
            <w:top w:val="none" w:sz="0" w:space="0" w:color="auto"/>
            <w:left w:val="none" w:sz="0" w:space="0" w:color="auto"/>
            <w:bottom w:val="none" w:sz="0" w:space="0" w:color="auto"/>
            <w:right w:val="none" w:sz="0" w:space="0" w:color="auto"/>
          </w:divBdr>
          <w:divsChild>
            <w:div w:id="11471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511066468">
      <w:bodyDiv w:val="1"/>
      <w:marLeft w:val="0"/>
      <w:marRight w:val="0"/>
      <w:marTop w:val="0"/>
      <w:marBottom w:val="0"/>
      <w:divBdr>
        <w:top w:val="none" w:sz="0" w:space="0" w:color="auto"/>
        <w:left w:val="none" w:sz="0" w:space="0" w:color="auto"/>
        <w:bottom w:val="none" w:sz="0" w:space="0" w:color="auto"/>
        <w:right w:val="none" w:sz="0" w:space="0" w:color="auto"/>
      </w:divBdr>
      <w:divsChild>
        <w:div w:id="833183289">
          <w:marLeft w:val="480"/>
          <w:marRight w:val="0"/>
          <w:marTop w:val="0"/>
          <w:marBottom w:val="0"/>
          <w:divBdr>
            <w:top w:val="none" w:sz="0" w:space="0" w:color="auto"/>
            <w:left w:val="none" w:sz="0" w:space="0" w:color="auto"/>
            <w:bottom w:val="none" w:sz="0" w:space="0" w:color="auto"/>
            <w:right w:val="none" w:sz="0" w:space="0" w:color="auto"/>
          </w:divBdr>
          <w:divsChild>
            <w:div w:id="17349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453">
      <w:bodyDiv w:val="1"/>
      <w:marLeft w:val="0"/>
      <w:marRight w:val="0"/>
      <w:marTop w:val="0"/>
      <w:marBottom w:val="0"/>
      <w:divBdr>
        <w:top w:val="none" w:sz="0" w:space="0" w:color="auto"/>
        <w:left w:val="none" w:sz="0" w:space="0" w:color="auto"/>
        <w:bottom w:val="none" w:sz="0" w:space="0" w:color="auto"/>
        <w:right w:val="none" w:sz="0" w:space="0" w:color="auto"/>
      </w:divBdr>
      <w:divsChild>
        <w:div w:id="549878332">
          <w:marLeft w:val="480"/>
          <w:marRight w:val="0"/>
          <w:marTop w:val="0"/>
          <w:marBottom w:val="0"/>
          <w:divBdr>
            <w:top w:val="none" w:sz="0" w:space="0" w:color="auto"/>
            <w:left w:val="none" w:sz="0" w:space="0" w:color="auto"/>
            <w:bottom w:val="none" w:sz="0" w:space="0" w:color="auto"/>
            <w:right w:val="none" w:sz="0" w:space="0" w:color="auto"/>
          </w:divBdr>
          <w:divsChild>
            <w:div w:id="16814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5543">
      <w:bodyDiv w:val="1"/>
      <w:marLeft w:val="0"/>
      <w:marRight w:val="0"/>
      <w:marTop w:val="0"/>
      <w:marBottom w:val="0"/>
      <w:divBdr>
        <w:top w:val="none" w:sz="0" w:space="0" w:color="auto"/>
        <w:left w:val="none" w:sz="0" w:space="0" w:color="auto"/>
        <w:bottom w:val="none" w:sz="0" w:space="0" w:color="auto"/>
        <w:right w:val="none" w:sz="0" w:space="0" w:color="auto"/>
      </w:divBdr>
      <w:divsChild>
        <w:div w:id="1439639271">
          <w:marLeft w:val="480"/>
          <w:marRight w:val="0"/>
          <w:marTop w:val="0"/>
          <w:marBottom w:val="0"/>
          <w:divBdr>
            <w:top w:val="none" w:sz="0" w:space="0" w:color="auto"/>
            <w:left w:val="none" w:sz="0" w:space="0" w:color="auto"/>
            <w:bottom w:val="none" w:sz="0" w:space="0" w:color="auto"/>
            <w:right w:val="none" w:sz="0" w:space="0" w:color="auto"/>
          </w:divBdr>
          <w:divsChild>
            <w:div w:id="2706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45/3501247.353156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515/9783110769043-02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145/3495222"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978-3-031-22789-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F9527DF1F4504A8EEC79DF7B3C2681" ma:contentTypeVersion="12" ma:contentTypeDescription="Ein neues Dokument erstellen." ma:contentTypeScope="" ma:versionID="49dc150ba42a97bc7b6ce029cb966c38">
  <xsd:schema xmlns:xsd="http://www.w3.org/2001/XMLSchema" xmlns:xs="http://www.w3.org/2001/XMLSchema" xmlns:p="http://schemas.microsoft.com/office/2006/metadata/properties" xmlns:ns2="8fc2612d-c7c2-4d74-9d60-2d4f601b9ed8" xmlns:ns3="b46fe6c8-268a-4799-8d12-b9bf5f501d0e" targetNamespace="http://schemas.microsoft.com/office/2006/metadata/properties" ma:root="true" ma:fieldsID="288305b27b20531d67c6f386de33a735" ns2:_="" ns3:_="">
    <xsd:import namespace="8fc2612d-c7c2-4d74-9d60-2d4f601b9ed8"/>
    <xsd:import namespace="b46fe6c8-268a-4799-8d12-b9bf5f501d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612d-c7c2-4d74-9d60-2d4f601b9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02dec8-a9aa-4cb7-a2d5-0c0a0010876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6fe6c8-268a-4799-8d12-b9bf5f501d0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3b44ce-65c0-46bb-9db8-ce99d668be5b}" ma:internalName="TaxCatchAll" ma:showField="CatchAllData" ma:web="b46fe6c8-268a-4799-8d12-b9bf5f501d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612d-c7c2-4d74-9d60-2d4f601b9ed8">
      <Terms xmlns="http://schemas.microsoft.com/office/infopath/2007/PartnerControls"/>
    </lcf76f155ced4ddcb4097134ff3c332f>
    <TaxCatchAll xmlns="b46fe6c8-268a-4799-8d12-b9bf5f501d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2BE10-EFB2-4B30-8EEC-690BF5572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612d-c7c2-4d74-9d60-2d4f601b9ed8"/>
    <ds:schemaRef ds:uri="b46fe6c8-268a-4799-8d12-b9bf5f501d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2CAFEB-5444-41B1-B0E8-C29F852AA49B}">
  <ds:schemaRefs>
    <ds:schemaRef ds:uri="http://schemas.microsoft.com/office/2006/metadata/properties"/>
    <ds:schemaRef ds:uri="http://schemas.microsoft.com/office/infopath/2007/PartnerControls"/>
    <ds:schemaRef ds:uri="8fc2612d-c7c2-4d74-9d60-2d4f601b9ed8"/>
    <ds:schemaRef ds:uri="b46fe6c8-268a-4799-8d12-b9bf5f501d0e"/>
  </ds:schemaRefs>
</ds:datastoreItem>
</file>

<file path=customXml/itemProps3.xml><?xml version="1.0" encoding="utf-8"?>
<ds:datastoreItem xmlns:ds="http://schemas.openxmlformats.org/officeDocument/2006/customXml" ds:itemID="{33B963C1-1C87-4358-B9C6-7EFF5A3CEF3C}">
  <ds:schemaRefs>
    <ds:schemaRef ds:uri="http://schemas.microsoft.com/sharepoint/v3/contenttype/forms"/>
  </ds:schemaRefs>
</ds:datastoreItem>
</file>

<file path=customXml/itemProps4.xml><?xml version="1.0" encoding="utf-8"?>
<ds:datastoreItem xmlns:ds="http://schemas.openxmlformats.org/officeDocument/2006/customXml" ds:itemID="{6A8ACA32-6BBF-4893-AD87-68DA22862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2254</Characters>
  <Application>Microsoft Office Word</Application>
  <DocSecurity>0</DocSecurity>
  <Lines>72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Ometov (TAU)</dc:creator>
  <cp:keywords/>
  <dc:description/>
  <cp:lastModifiedBy>Schultheiß, Sebastian</cp:lastModifiedBy>
  <cp:revision>55</cp:revision>
  <cp:lastPrinted>2020-04-06T10:28:00Z</cp:lastPrinted>
  <dcterms:created xsi:type="dcterms:W3CDTF">2025-06-26T19:53:00Z</dcterms:created>
  <dcterms:modified xsi:type="dcterms:W3CDTF">2026-03-09T09:57:00Z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2025-05-30T09:04:25Z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8cfc00d7-2362-40e5-af08-b81a3e8dfae5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ContentTypeId">
    <vt:lpwstr>0x01010028F9527DF1F4504A8EEC79DF7B3C2681</vt:lpwstr>
  </property>
  <property fmtid="{D5CDD505-2E9C-101B-9397-08002B2CF9AE}" pid="11" name="Order">
    <vt:r8>5731700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ZOTERO_PREF_1">
    <vt:lpwstr>&lt;data data-version="3" zotero-version="7.0.32"&gt;&lt;session id="ASBNQ8Jo"/&gt;&lt;style id="http://www.zotero.org/styles/apa" locale="de-DE" hasBibliography="1" bibliographyStyleHasBeenSet="0"/&gt;&lt;prefs&gt;&lt;pref name="fieldType" value="Field"/&gt;&lt;/prefs&gt;&lt;/data&gt;</vt:lpwstr>
  </property>
</Properties>
</file>