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76" w:lineRule="auto"/>
        <w:jc w:val="center"/>
      </w:pPr>
      <w:r>
        <w:rPr>
          <w:rFonts w:ascii="Calibri" w:hAnsi="Calibri"/>
          <w:b/>
          <w:i w:val="0"/>
          <w:color w:val="0F5C8C"/>
          <w:sz w:val="22"/>
        </w:rPr>
        <w:t>CONFERENCE PAPER PLAN  04 / 5  —  REBUILT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1B3A5F"/>
          <w:sz w:val="24"/>
        </w:rPr>
        <w:t>4th TRR 318 Conference: Scaffolding Social XAI  |  Paderborn  |  16-17 March 2027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1B3A5F"/>
          <w:sz w:val="36"/>
        </w:rPr>
        <w:t>Scaffolding Social Explainability When Workers Contest Language-Model Automation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i/>
          <w:color w:val="444444"/>
          <w:sz w:val="24"/>
        </w:rPr>
        <w:t>Extended abstract, 2 pages including references  |  proceedings  |  oral or poster  |  deadline 1 November 2026</w:t>
      </w:r>
    </w:p>
    <w:p>
      <w:pPr>
        <w:spacing w:after="160" w:line="276" w:lineRule="auto"/>
        <w:jc w:val="center"/>
      </w:pPr>
      <w:r>
        <w:rPr>
          <w:rFonts w:ascii="Calibri" w:hAnsi="Calibri"/>
          <w:b w:val="0"/>
          <w:i w:val="0"/>
          <w:color w:val="222222"/>
          <w:sz w:val="20"/>
        </w:rPr>
        <w:t>Asher Mehfooz  |  18 September 2026  |  NLP / LLM / RAG / business automation  |  Background used as capability, not as the paper topic</w:t>
      </w:r>
    </w:p>
    <w:p>
      <w:pPr>
        <w:spacing w:after="160" w:line="276" w:lineRule="auto"/>
        <w:jc w:val="center"/>
      </w:pPr>
      <w:r>
        <w:rPr>
          <w:rFonts w:ascii="Calibri" w:hAnsi="Calibri"/>
          <w:b/>
          <w:i w:val="0"/>
          <w:color w:val="8B1E1E"/>
          <w:sz w:val="22"/>
        </w:rPr>
        <w:t>TRR wants explanation as a social practice in workplace settings. Do not send SHAP screenshots. Do not send the teacher-dashboard paper.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1. Conference Fit (verified)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2948"/>
            <w:shd w:fill="1B3A5F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Item</w:t>
            </w:r>
          </w:p>
        </w:tc>
        <w:tc>
          <w:tcPr>
            <w:tcW w:type="dxa" w:w="6520"/>
            <w:shd w:fill="1B3A5F" w:val="clear"/>
          </w:tcPr>
          <w:p>
            <w:r/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Verified detail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Deadline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 November 2026, EasyChair trr3182027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Notification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10 December 2026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Format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2 pages INCLUDING references; authors visible; 4-5 keywords; official template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CFP match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Workplace/institutional explanation; human-AI interaction; critical engagement with tools; XAI literacy as situated competence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Travel fund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International early-career up to EUR 400 if no other funds: conference@trr318.uni-paderborn.de</w:t>
            </w:r>
          </w:p>
        </w:tc>
      </w:tr>
      <w:tr>
        <w:tc>
          <w:tcPr>
            <w:tcW w:type="dxa" w:w="2948"/>
            <w:shd w:fill="E8EEF4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Why not ML4CPS</w:t>
            </w:r>
          </w:p>
        </w:tc>
        <w:tc>
          <w:tcPr>
            <w:tcW w:type="dxa" w:w="6520"/>
            <w:shd w:fill="F7F9FB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ML4CPS is industrial cyber-physical systems. Forcing a CRM agent into CPS would be fake matching.</w:t>
            </w:r>
          </w:p>
        </w:tc>
      </w:tr>
      <w:tr>
        <w:tc>
          <w:tcPr>
            <w:tcW w:type="dxa" w:w="2948"/>
            <w:shd w:fill="F7F9FB" w:val="clear"/>
          </w:tcPr>
          <w:p>
            <w:r/>
            <w:r>
              <w:rPr>
                <w:rFonts w:ascii="Calibri" w:hAnsi="Calibri"/>
                <w:b/>
                <w:i w:val="0"/>
                <w:color w:val="1B3A5F"/>
                <w:sz w:val="20"/>
              </w:rPr>
              <w:t>Why this is easier to accept</w:t>
            </w:r>
          </w:p>
        </w:tc>
        <w:tc>
          <w:tcPr>
            <w:tcW w:type="dxa" w:w="6520"/>
            <w:shd w:fill="FFFFFF" w:val="clear"/>
          </w:tcPr>
          <w:p>
            <w:r/>
            <w:r>
              <w:rPr>
                <w:rFonts w:ascii="Calibri" w:hAnsi="Calibri"/>
                <w:b w:val="0"/>
                <w:i w:val="0"/>
                <w:color w:val="222222"/>
                <w:sz w:val="20"/>
              </w:rPr>
              <w:t>Two pages, interdisciplinary CRC, workplace case. Highest realistic odds if the social framing is kept.</w:t>
            </w:r>
          </w:p>
        </w:tc>
      </w:tr>
    </w:tbl>
    <w:p>
      <w:pPr>
        <w:spacing w:after="80"/>
      </w:pP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2. Problem, existing, gap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When an agent proposes cancel_order or a RAG assistant cites SOP v3, the worker is asked to click Approve. Feature-attribution XAI and LLM narratives both fail here: SHAP is not a workplace language, and a fluent story can be ungrounded. Reviews of dashboard XAI show algorithmic transparency without pedagogical or operational interpretability. Gap: a scaffold that lets a worker contest the action in dialogue: Why this tool? What evidence? What would change the decision? What is the system not sure about? That is social XAI, which is the conference title.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3. Proposal (fits 2 pages)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Reuse Paper 1's agent on three frozen cases: a correct refund, a wrong-ID refund, a policy-missing case.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Condition A: static reason string. Condition B: four-move scaffold (evidence, rule, counterfactual, limit) the worker can query.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N = 5 to 8 workers or business-student proxies. Outcome: can they refuse the bad action? Code contestation moves.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Contribution: a workplace XAI-literacy scaffold for LLM automation, not a new explainer algorithm.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4. Novelty</w:t>
      </w:r>
    </w:p>
    <w:p>
      <w:pPr>
        <w:spacing w:after="160" w:line="276" w:lineRule="auto"/>
        <w:jc w:val="both"/>
      </w:pPr>
      <w:r>
        <w:rPr>
          <w:rFonts w:ascii="Calibri" w:hAnsi="Calibri"/>
          <w:b w:val="0"/>
          <w:i w:val="0"/>
          <w:color w:val="222222"/>
          <w:sz w:val="22"/>
        </w:rPr>
        <w:t>Design of contestable explanation as a dyadic workplace practice around a tool-call, aligned with TRR's institutional setting. Distinct from Paper 1 (no need to report illegal-call rates here) and Paper 3 (ISI is informing; TRR is explaining/contesting).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5. Two-page flow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P1 problem: approve-click is not explanation.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P2 related: Miller social explanation; SHAP; LLM dashboard narratives; approval fatigue.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P3 scaffold: four moves, examples.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P4 method and expected findings.</w:t>
      </w:r>
    </w:p>
    <w:p>
      <w:pPr>
        <w:pStyle w:val="ListNumber"/>
        <w:spacing w:after="60"/>
        <w:ind w:left="567"/>
      </w:pPr>
      <w:r>
        <w:rPr>
          <w:rFonts w:ascii="Calibri" w:hAnsi="Calibri"/>
          <w:b w:val="0"/>
          <w:i w:val="0"/>
          <w:color w:val="222222"/>
          <w:sz w:val="22"/>
        </w:rPr>
        <w:t>P5 contribution and limits. 6-8 references.</w:t>
      </w:r>
    </w:p>
    <w:p>
      <w:pPr>
        <w:spacing w:before="280" w:after="120"/>
        <w:pBdr>
          <w:bottom w:val="single" w:sz="12" w:space="4" w:color="1B3A5F"/>
        </w:pBdr>
      </w:pPr>
      <w:r>
        <w:rPr>
          <w:rFonts w:ascii="Calibri" w:hAnsi="Calibri"/>
          <w:b/>
          <w:i w:val="0"/>
          <w:color w:val="1B3A5F"/>
          <w:sz w:val="32"/>
        </w:rPr>
        <w:t>6. Keywords</w:t>
      </w:r>
    </w:p>
    <w:p>
      <w:pPr>
        <w:spacing w:after="160" w:line="276" w:lineRule="auto"/>
        <w:jc w:val="left"/>
      </w:pPr>
      <w:r>
        <w:rPr>
          <w:rFonts w:ascii="Calibri" w:hAnsi="Calibri"/>
          <w:b w:val="0"/>
          <w:i/>
          <w:color w:val="222222"/>
          <w:sz w:val="22"/>
        </w:rPr>
        <w:t>Social XAI; workplace automation; language-model agents; contestability; XAI literacy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b w:val="0"/>
        <w:i/>
        <w:color w:val="444444"/>
        <w:sz w:val="16"/>
      </w:rPr>
      <w:t>Paper 4 rebuilt  |  TRR 318 Social XAI for workplace automation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