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3377D" w14:textId="49D6E0EB" w:rsidR="00F12C76" w:rsidRDefault="006960E1" w:rsidP="006960E1">
      <w:pPr>
        <w:spacing w:after="0"/>
        <w:ind w:firstLine="709"/>
        <w:jc w:val="center"/>
        <w:rPr>
          <w:b/>
          <w:bCs/>
          <w:sz w:val="32"/>
          <w:szCs w:val="24"/>
          <w:lang w:val="en-US"/>
        </w:rPr>
      </w:pPr>
      <w:r w:rsidRPr="006960E1">
        <w:rPr>
          <w:b/>
          <w:bCs/>
          <w:sz w:val="32"/>
          <w:szCs w:val="24"/>
          <w:lang w:val="en-US"/>
        </w:rPr>
        <w:t>Credit Risk Analysis Report – Horizon Financial Group</w:t>
      </w:r>
    </w:p>
    <w:p w14:paraId="6BC53F88" w14:textId="77777777" w:rsidR="006960E1" w:rsidRDefault="006960E1" w:rsidP="006960E1">
      <w:pPr>
        <w:spacing w:after="0"/>
        <w:ind w:firstLine="709"/>
        <w:jc w:val="center"/>
        <w:rPr>
          <w:b/>
          <w:bCs/>
          <w:sz w:val="32"/>
          <w:szCs w:val="24"/>
          <w:lang w:val="en-US"/>
        </w:rPr>
      </w:pPr>
    </w:p>
    <w:p w14:paraId="454DE084" w14:textId="77777777" w:rsidR="00C30ADB" w:rsidRDefault="00C30ADB" w:rsidP="006960E1">
      <w:pPr>
        <w:spacing w:after="0"/>
        <w:ind w:firstLine="709"/>
        <w:jc w:val="center"/>
        <w:rPr>
          <w:b/>
          <w:bCs/>
          <w:sz w:val="32"/>
          <w:szCs w:val="24"/>
          <w:lang w:val="en-US"/>
        </w:rPr>
      </w:pPr>
    </w:p>
    <w:p w14:paraId="283CEFBB" w14:textId="70279752" w:rsidR="006960E1" w:rsidRPr="00C30ADB" w:rsidRDefault="006960E1" w:rsidP="00C30ADB">
      <w:pPr>
        <w:pStyle w:val="ListParagraph"/>
        <w:numPr>
          <w:ilvl w:val="0"/>
          <w:numId w:val="17"/>
        </w:numPr>
        <w:spacing w:after="0"/>
        <w:jc w:val="both"/>
        <w:rPr>
          <w:b/>
          <w:bCs/>
          <w:lang w:val="en-US"/>
        </w:rPr>
      </w:pPr>
      <w:r w:rsidRPr="00C30ADB">
        <w:rPr>
          <w:b/>
          <w:bCs/>
          <w:lang w:val="en-US"/>
        </w:rPr>
        <w:t>Overall Default Risk &amp; Credit Score Impact</w:t>
      </w:r>
    </w:p>
    <w:p w14:paraId="402C97CA" w14:textId="77777777" w:rsidR="006960E1" w:rsidRDefault="006960E1" w:rsidP="006960E1">
      <w:pPr>
        <w:spacing w:after="0"/>
        <w:ind w:firstLine="709"/>
        <w:jc w:val="both"/>
        <w:rPr>
          <w:b/>
          <w:bCs/>
          <w:lang w:val="en-US"/>
        </w:rPr>
      </w:pPr>
    </w:p>
    <w:p w14:paraId="6FE63C72" w14:textId="0E704601" w:rsidR="006960E1" w:rsidRDefault="006960E1" w:rsidP="006960E1">
      <w:pPr>
        <w:spacing w:after="0"/>
        <w:ind w:firstLine="709"/>
        <w:jc w:val="both"/>
        <w:rPr>
          <w:lang w:val="en-US"/>
        </w:rPr>
      </w:pPr>
      <w:r w:rsidRPr="006960E1">
        <w:rPr>
          <w:lang w:val="en-US"/>
        </w:rPr>
        <w:t>The analysis of credit score distribution shows that default risk is heavily concentrated in lower credit score segments.</w:t>
      </w:r>
    </w:p>
    <w:p w14:paraId="2335E133" w14:textId="363A7260" w:rsidR="006960E1" w:rsidRDefault="006960E1" w:rsidP="006960E1">
      <w:pPr>
        <w:spacing w:after="0"/>
        <w:ind w:firstLine="709"/>
        <w:jc w:val="both"/>
        <w:rPr>
          <w:lang w:val="en-US"/>
        </w:rPr>
      </w:pPr>
      <w:r w:rsidRPr="006960E1">
        <w:rPr>
          <w:lang w:val="en-US"/>
        </w:rPr>
        <w:t>Borrower distribution by credit score:</w:t>
      </w:r>
    </w:p>
    <w:p w14:paraId="637B81CD" w14:textId="24D932DB" w:rsidR="006960E1" w:rsidRDefault="006960E1" w:rsidP="006960E1">
      <w:pPr>
        <w:pStyle w:val="ListParagraph"/>
        <w:numPr>
          <w:ilvl w:val="0"/>
          <w:numId w:val="9"/>
        </w:numPr>
        <w:spacing w:after="0"/>
        <w:rPr>
          <w:lang w:val="en-US"/>
        </w:rPr>
      </w:pPr>
      <w:r w:rsidRPr="006960E1">
        <w:rPr>
          <w:b/>
          <w:bCs/>
        </w:rPr>
        <w:t>520–599:</w:t>
      </w:r>
      <w:r w:rsidRPr="006960E1">
        <w:t xml:space="preserve"> 57 </w:t>
      </w:r>
      <w:proofErr w:type="spellStart"/>
      <w:r w:rsidRPr="006960E1">
        <w:t>borrowers</w:t>
      </w:r>
      <w:proofErr w:type="spellEnd"/>
    </w:p>
    <w:p w14:paraId="7DDBFE8E" w14:textId="3A56892C" w:rsidR="006960E1" w:rsidRDefault="006960E1" w:rsidP="006960E1">
      <w:pPr>
        <w:pStyle w:val="ListParagraph"/>
        <w:numPr>
          <w:ilvl w:val="0"/>
          <w:numId w:val="9"/>
        </w:numPr>
        <w:spacing w:after="0"/>
        <w:rPr>
          <w:lang w:val="en-US"/>
        </w:rPr>
      </w:pPr>
      <w:r w:rsidRPr="006960E1">
        <w:rPr>
          <w:b/>
          <w:bCs/>
        </w:rPr>
        <w:t>600–649:</w:t>
      </w:r>
      <w:r w:rsidRPr="006960E1">
        <w:t xml:space="preserve"> 27 </w:t>
      </w:r>
      <w:proofErr w:type="spellStart"/>
      <w:r w:rsidRPr="006960E1">
        <w:t>borrowers</w:t>
      </w:r>
      <w:proofErr w:type="spellEnd"/>
    </w:p>
    <w:p w14:paraId="4A161F64" w14:textId="7B14CB29" w:rsidR="006960E1" w:rsidRDefault="006960E1" w:rsidP="006960E1">
      <w:pPr>
        <w:pStyle w:val="ListParagraph"/>
        <w:numPr>
          <w:ilvl w:val="0"/>
          <w:numId w:val="9"/>
        </w:numPr>
        <w:spacing w:after="0"/>
        <w:rPr>
          <w:lang w:val="en-US"/>
        </w:rPr>
      </w:pPr>
      <w:r w:rsidRPr="006960E1">
        <w:rPr>
          <w:b/>
          <w:bCs/>
        </w:rPr>
        <w:t>650–699:</w:t>
      </w:r>
      <w:r w:rsidRPr="006960E1">
        <w:t xml:space="preserve"> 21 </w:t>
      </w:r>
      <w:proofErr w:type="spellStart"/>
      <w:r w:rsidRPr="006960E1">
        <w:t>borrowers</w:t>
      </w:r>
      <w:proofErr w:type="spellEnd"/>
    </w:p>
    <w:p w14:paraId="36552262" w14:textId="67C2E19F" w:rsidR="006960E1" w:rsidRDefault="006960E1" w:rsidP="006960E1">
      <w:pPr>
        <w:pStyle w:val="ListParagraph"/>
        <w:numPr>
          <w:ilvl w:val="0"/>
          <w:numId w:val="9"/>
        </w:numPr>
        <w:spacing w:after="0"/>
        <w:rPr>
          <w:lang w:val="en-US"/>
        </w:rPr>
      </w:pPr>
      <w:r w:rsidRPr="006960E1">
        <w:rPr>
          <w:b/>
          <w:bCs/>
        </w:rPr>
        <w:t>700–749:</w:t>
      </w:r>
      <w:r w:rsidRPr="006960E1">
        <w:t xml:space="preserve"> 14 </w:t>
      </w:r>
      <w:proofErr w:type="spellStart"/>
      <w:r w:rsidRPr="006960E1">
        <w:t>borrowers</w:t>
      </w:r>
      <w:proofErr w:type="spellEnd"/>
    </w:p>
    <w:p w14:paraId="50594BD0" w14:textId="4DBF1352" w:rsidR="006960E1" w:rsidRDefault="006960E1" w:rsidP="006960E1">
      <w:pPr>
        <w:pStyle w:val="ListParagraph"/>
        <w:numPr>
          <w:ilvl w:val="0"/>
          <w:numId w:val="9"/>
        </w:numPr>
        <w:spacing w:after="0"/>
        <w:rPr>
          <w:lang w:val="en-US"/>
        </w:rPr>
      </w:pPr>
      <w:r w:rsidRPr="006960E1">
        <w:rPr>
          <w:b/>
          <w:bCs/>
        </w:rPr>
        <w:t>750+:</w:t>
      </w:r>
      <w:r w:rsidRPr="006960E1">
        <w:t xml:space="preserve"> 27 </w:t>
      </w:r>
      <w:proofErr w:type="spellStart"/>
      <w:r w:rsidRPr="006960E1">
        <w:t>borrowers</w:t>
      </w:r>
      <w:proofErr w:type="spellEnd"/>
    </w:p>
    <w:p w14:paraId="53B37356" w14:textId="77777777" w:rsidR="006960E1" w:rsidRDefault="006960E1" w:rsidP="006960E1">
      <w:pPr>
        <w:pStyle w:val="ListParagraph"/>
        <w:spacing w:after="0"/>
        <w:ind w:left="1429"/>
        <w:rPr>
          <w:b/>
          <w:bCs/>
          <w:lang w:val="en-US"/>
        </w:rPr>
      </w:pPr>
    </w:p>
    <w:p w14:paraId="474C5F67" w14:textId="01EB6C7D" w:rsidR="006960E1" w:rsidRDefault="006960E1" w:rsidP="006960E1">
      <w:pPr>
        <w:spacing w:after="0"/>
        <w:ind w:firstLine="708"/>
        <w:jc w:val="both"/>
        <w:rPr>
          <w:lang w:val="en-US"/>
        </w:rPr>
      </w:pPr>
      <w:r w:rsidRPr="006960E1">
        <w:rPr>
          <w:lang w:val="en-US"/>
        </w:rPr>
        <w:t>The 520–599 credit score range represents the highest-risk segment. There is a clear inverse relationship between credit score and default risk, where higher credit scores are associated with lower default rates.</w:t>
      </w:r>
      <w:r w:rsidRPr="006960E1">
        <w:rPr>
          <w:lang w:val="en-US"/>
        </w:rPr>
        <w:t xml:space="preserve"> </w:t>
      </w:r>
      <w:r w:rsidRPr="006960E1">
        <w:rPr>
          <w:lang w:val="en-US"/>
        </w:rPr>
        <w:t>Credit score is a strong predictor of default risk. Borrowers below 600 represent the highest-risk group.</w:t>
      </w:r>
    </w:p>
    <w:p w14:paraId="01CFB72E" w14:textId="77777777" w:rsidR="006960E1" w:rsidRDefault="006960E1" w:rsidP="006960E1">
      <w:pPr>
        <w:spacing w:after="0"/>
        <w:ind w:firstLine="708"/>
        <w:jc w:val="both"/>
        <w:rPr>
          <w:lang w:val="en-US"/>
        </w:rPr>
      </w:pPr>
    </w:p>
    <w:p w14:paraId="56793A07" w14:textId="77777777" w:rsidR="00C30ADB" w:rsidRDefault="00C30ADB" w:rsidP="006960E1">
      <w:pPr>
        <w:spacing w:after="0"/>
        <w:ind w:firstLine="708"/>
        <w:jc w:val="both"/>
        <w:rPr>
          <w:lang w:val="en-US"/>
        </w:rPr>
      </w:pPr>
    </w:p>
    <w:p w14:paraId="2B1331AC" w14:textId="4CF3BE6D" w:rsidR="006960E1" w:rsidRDefault="006960E1" w:rsidP="006960E1">
      <w:pPr>
        <w:spacing w:after="0"/>
        <w:ind w:firstLine="708"/>
        <w:jc w:val="both"/>
        <w:rPr>
          <w:b/>
          <w:bCs/>
          <w:lang w:val="en-US"/>
        </w:rPr>
      </w:pPr>
      <w:r w:rsidRPr="006960E1">
        <w:rPr>
          <w:b/>
          <w:bCs/>
          <w:lang w:val="en-US"/>
        </w:rPr>
        <w:t>2.</w:t>
      </w:r>
      <w:r w:rsidR="00C30ADB">
        <w:rPr>
          <w:b/>
          <w:bCs/>
          <w:lang w:val="en-US"/>
        </w:rPr>
        <w:t xml:space="preserve"> </w:t>
      </w:r>
      <w:r w:rsidRPr="006960E1">
        <w:rPr>
          <w:b/>
          <w:bCs/>
          <w:lang w:val="en-US"/>
        </w:rPr>
        <w:t xml:space="preserve"> </w:t>
      </w:r>
      <w:r w:rsidRPr="006960E1">
        <w:rPr>
          <w:b/>
          <w:bCs/>
        </w:rPr>
        <w:t xml:space="preserve">DTI </w:t>
      </w:r>
      <w:proofErr w:type="spellStart"/>
      <w:r w:rsidRPr="006960E1">
        <w:rPr>
          <w:b/>
          <w:bCs/>
        </w:rPr>
        <w:t>Ratio</w:t>
      </w:r>
      <w:proofErr w:type="spellEnd"/>
      <w:r w:rsidRPr="006960E1">
        <w:rPr>
          <w:b/>
          <w:bCs/>
        </w:rPr>
        <w:t xml:space="preserve"> &amp; </w:t>
      </w:r>
      <w:proofErr w:type="spellStart"/>
      <w:r w:rsidRPr="006960E1">
        <w:rPr>
          <w:b/>
          <w:bCs/>
        </w:rPr>
        <w:t>Default</w:t>
      </w:r>
      <w:proofErr w:type="spellEnd"/>
      <w:r w:rsidRPr="006960E1">
        <w:rPr>
          <w:b/>
          <w:bCs/>
        </w:rPr>
        <w:t xml:space="preserve"> </w:t>
      </w:r>
      <w:proofErr w:type="spellStart"/>
      <w:r w:rsidRPr="006960E1">
        <w:rPr>
          <w:b/>
          <w:bCs/>
        </w:rPr>
        <w:t>Relationship</w:t>
      </w:r>
      <w:proofErr w:type="spellEnd"/>
    </w:p>
    <w:p w14:paraId="3F425FD3" w14:textId="77777777" w:rsidR="006960E1" w:rsidRDefault="006960E1" w:rsidP="006960E1">
      <w:pPr>
        <w:spacing w:after="0"/>
        <w:ind w:firstLine="708"/>
        <w:jc w:val="both"/>
        <w:rPr>
          <w:lang w:val="en-US"/>
        </w:rPr>
      </w:pPr>
    </w:p>
    <w:p w14:paraId="3AFDBD5B" w14:textId="77777777" w:rsidR="006960E1" w:rsidRDefault="006960E1" w:rsidP="006960E1">
      <w:pPr>
        <w:spacing w:after="0"/>
        <w:ind w:firstLine="708"/>
        <w:jc w:val="both"/>
        <w:rPr>
          <w:lang w:val="en-US"/>
        </w:rPr>
      </w:pPr>
      <w:r w:rsidRPr="006960E1">
        <w:rPr>
          <w:lang w:val="en-US"/>
        </w:rPr>
        <w:t>The analysis of debt-to-income (DTI) ratio shows a non-linear relationship with default risk.</w:t>
      </w:r>
      <w:r>
        <w:rPr>
          <w:lang w:val="en-US"/>
        </w:rPr>
        <w:t xml:space="preserve"> </w:t>
      </w:r>
    </w:p>
    <w:p w14:paraId="55E7973B" w14:textId="77777777" w:rsidR="00C30ADB" w:rsidRDefault="00C30ADB" w:rsidP="006960E1">
      <w:pPr>
        <w:spacing w:after="0"/>
        <w:ind w:firstLine="708"/>
        <w:jc w:val="both"/>
        <w:rPr>
          <w:lang w:val="en-US"/>
        </w:rPr>
      </w:pPr>
    </w:p>
    <w:p w14:paraId="2162366C" w14:textId="2060C1F6" w:rsidR="006960E1" w:rsidRPr="006960E1" w:rsidRDefault="006960E1" w:rsidP="006960E1">
      <w:pPr>
        <w:spacing w:after="0"/>
        <w:ind w:firstLine="708"/>
        <w:jc w:val="both"/>
        <w:rPr>
          <w:lang w:val="en-US"/>
        </w:rPr>
      </w:pPr>
      <w:r w:rsidRPr="006960E1">
        <w:rPr>
          <w:lang w:val="en-US"/>
        </w:rPr>
        <w:t>DTI ranges and default rates:</w:t>
      </w:r>
    </w:p>
    <w:p w14:paraId="51DF8F89" w14:textId="00EF9CB0" w:rsidR="006960E1" w:rsidRDefault="006960E1" w:rsidP="006960E1">
      <w:pPr>
        <w:pStyle w:val="ListParagraph"/>
        <w:numPr>
          <w:ilvl w:val="0"/>
          <w:numId w:val="10"/>
        </w:numPr>
        <w:spacing w:after="0"/>
        <w:rPr>
          <w:lang w:val="en-US"/>
        </w:rPr>
      </w:pPr>
      <w:r w:rsidRPr="006960E1">
        <w:rPr>
          <w:b/>
          <w:bCs/>
        </w:rPr>
        <w:t>0–20%:</w:t>
      </w:r>
      <w:r w:rsidRPr="006960E1">
        <w:t xml:space="preserve"> 0.1667</w:t>
      </w:r>
    </w:p>
    <w:p w14:paraId="4C3DF498" w14:textId="582E3D39" w:rsidR="006960E1" w:rsidRDefault="006960E1" w:rsidP="006960E1">
      <w:pPr>
        <w:pStyle w:val="ListParagraph"/>
        <w:numPr>
          <w:ilvl w:val="0"/>
          <w:numId w:val="10"/>
        </w:numPr>
        <w:spacing w:after="0"/>
        <w:rPr>
          <w:lang w:val="en-US"/>
        </w:rPr>
      </w:pPr>
      <w:r w:rsidRPr="006960E1">
        <w:rPr>
          <w:b/>
          <w:bCs/>
        </w:rPr>
        <w:t>20–35%:</w:t>
      </w:r>
      <w:r w:rsidRPr="006960E1">
        <w:t xml:space="preserve"> 0.1282</w:t>
      </w:r>
    </w:p>
    <w:p w14:paraId="65D4ABF3" w14:textId="2AD5691D" w:rsidR="006960E1" w:rsidRDefault="006960E1" w:rsidP="006960E1">
      <w:pPr>
        <w:pStyle w:val="ListParagraph"/>
        <w:numPr>
          <w:ilvl w:val="0"/>
          <w:numId w:val="10"/>
        </w:numPr>
        <w:spacing w:after="0"/>
        <w:rPr>
          <w:lang w:val="en-US"/>
        </w:rPr>
      </w:pPr>
      <w:r w:rsidRPr="006960E1">
        <w:rPr>
          <w:b/>
          <w:bCs/>
        </w:rPr>
        <w:t>35–50%:</w:t>
      </w:r>
      <w:r w:rsidRPr="006960E1">
        <w:t xml:space="preserve"> 0.1716</w:t>
      </w:r>
    </w:p>
    <w:p w14:paraId="2FE91B37" w14:textId="7FDD3F5C" w:rsidR="006960E1" w:rsidRDefault="006960E1" w:rsidP="006960E1">
      <w:pPr>
        <w:pStyle w:val="ListParagraph"/>
        <w:numPr>
          <w:ilvl w:val="0"/>
          <w:numId w:val="10"/>
        </w:numPr>
        <w:spacing w:after="0"/>
        <w:rPr>
          <w:lang w:val="en-US"/>
        </w:rPr>
      </w:pPr>
      <w:r w:rsidRPr="006960E1">
        <w:rPr>
          <w:b/>
          <w:bCs/>
        </w:rPr>
        <w:t>50%+:</w:t>
      </w:r>
      <w:r w:rsidRPr="006960E1">
        <w:t xml:space="preserve"> 0.3432</w:t>
      </w:r>
    </w:p>
    <w:p w14:paraId="7D228D1A" w14:textId="3CD1F074" w:rsidR="006960E1" w:rsidRDefault="006960E1" w:rsidP="00C30ADB">
      <w:pPr>
        <w:spacing w:after="0"/>
        <w:ind w:firstLine="708"/>
        <w:jc w:val="both"/>
        <w:rPr>
          <w:lang w:val="en-US"/>
        </w:rPr>
      </w:pPr>
      <w:r w:rsidRPr="006960E1">
        <w:rPr>
          <w:lang w:val="en-US"/>
        </w:rPr>
        <w:t>Default risk decreases slightly in the mid-range (20–35%) and then increases again after 35%, with a sharp rise at 50%+ DTI.</w:t>
      </w:r>
    </w:p>
    <w:p w14:paraId="3FD45382" w14:textId="77777777" w:rsidR="00C30ADB" w:rsidRDefault="00C30ADB" w:rsidP="006960E1">
      <w:pPr>
        <w:spacing w:after="0"/>
        <w:ind w:firstLine="708"/>
        <w:rPr>
          <w:lang w:val="en-US"/>
        </w:rPr>
      </w:pPr>
    </w:p>
    <w:p w14:paraId="02C7E519" w14:textId="1F04EBD5" w:rsidR="006960E1" w:rsidRDefault="006960E1" w:rsidP="006960E1">
      <w:pPr>
        <w:spacing w:after="0"/>
        <w:ind w:left="708"/>
        <w:rPr>
          <w:i/>
          <w:iCs/>
          <w:lang w:val="en-US"/>
        </w:rPr>
      </w:pPr>
      <w:r w:rsidRPr="006960E1">
        <w:rPr>
          <w:i/>
          <w:iCs/>
          <w:lang w:val="en-US"/>
        </w:rPr>
        <w:t>Recommended thresholds:</w:t>
      </w:r>
    </w:p>
    <w:p w14:paraId="0E3D4BCA" w14:textId="77777777" w:rsidR="00C30ADB" w:rsidRPr="006960E1" w:rsidRDefault="00C30ADB" w:rsidP="006960E1">
      <w:pPr>
        <w:spacing w:after="0"/>
        <w:ind w:left="708"/>
        <w:rPr>
          <w:i/>
          <w:iCs/>
          <w:lang w:val="en-US"/>
        </w:rPr>
      </w:pPr>
    </w:p>
    <w:p w14:paraId="7FFCEBC2" w14:textId="0A9086C9" w:rsidR="006960E1" w:rsidRPr="006960E1" w:rsidRDefault="006960E1" w:rsidP="006960E1">
      <w:pPr>
        <w:pStyle w:val="ListParagraph"/>
        <w:numPr>
          <w:ilvl w:val="0"/>
          <w:numId w:val="11"/>
        </w:numPr>
        <w:spacing w:after="0"/>
        <w:rPr>
          <w:b/>
          <w:bCs/>
          <w:lang w:val="en-US"/>
        </w:rPr>
      </w:pPr>
      <w:r w:rsidRPr="006960E1">
        <w:rPr>
          <w:b/>
          <w:bCs/>
          <w:lang w:val="en-US"/>
        </w:rPr>
        <w:t>Safe zone:</w:t>
      </w:r>
      <w:r w:rsidRPr="006960E1">
        <w:rPr>
          <w:lang w:val="en-US"/>
        </w:rPr>
        <w:t xml:space="preserve"> below 35%</w:t>
      </w:r>
    </w:p>
    <w:p w14:paraId="41ADEEB9" w14:textId="48AC06DF" w:rsidR="006960E1" w:rsidRPr="006960E1" w:rsidRDefault="006960E1" w:rsidP="006960E1">
      <w:pPr>
        <w:pStyle w:val="ListParagraph"/>
        <w:numPr>
          <w:ilvl w:val="0"/>
          <w:numId w:val="11"/>
        </w:numPr>
        <w:spacing w:after="0"/>
        <w:rPr>
          <w:b/>
          <w:bCs/>
          <w:lang w:val="en-US"/>
        </w:rPr>
      </w:pPr>
      <w:r w:rsidRPr="006960E1">
        <w:rPr>
          <w:b/>
          <w:bCs/>
          <w:lang w:val="en-US"/>
        </w:rPr>
        <w:t>Review zone:</w:t>
      </w:r>
      <w:r w:rsidRPr="006960E1">
        <w:rPr>
          <w:lang w:val="en-US"/>
        </w:rPr>
        <w:t xml:space="preserve"> 35%–50%</w:t>
      </w:r>
    </w:p>
    <w:p w14:paraId="71CB0190" w14:textId="24ED60F9" w:rsidR="006960E1" w:rsidRDefault="006960E1" w:rsidP="006960E1">
      <w:pPr>
        <w:pStyle w:val="ListParagraph"/>
        <w:numPr>
          <w:ilvl w:val="0"/>
          <w:numId w:val="11"/>
        </w:numPr>
        <w:spacing w:after="0"/>
        <w:rPr>
          <w:lang w:val="en-US"/>
        </w:rPr>
      </w:pPr>
      <w:r w:rsidRPr="006960E1">
        <w:rPr>
          <w:b/>
          <w:bCs/>
          <w:lang w:val="en-US"/>
        </w:rPr>
        <w:t>High-risk zone:</w:t>
      </w:r>
      <w:r w:rsidRPr="006960E1">
        <w:rPr>
          <w:lang w:val="en-US"/>
        </w:rPr>
        <w:t xml:space="preserve"> above 50%</w:t>
      </w:r>
    </w:p>
    <w:p w14:paraId="1002CE40" w14:textId="77777777" w:rsidR="006960E1" w:rsidRDefault="006960E1" w:rsidP="006960E1">
      <w:pPr>
        <w:pStyle w:val="ListParagraph"/>
        <w:spacing w:after="0"/>
        <w:ind w:left="1428"/>
        <w:rPr>
          <w:lang w:val="en-US"/>
        </w:rPr>
      </w:pPr>
    </w:p>
    <w:p w14:paraId="6B270CBF" w14:textId="15ABD10B" w:rsidR="006960E1" w:rsidRDefault="006960E1" w:rsidP="00C30ADB">
      <w:pPr>
        <w:spacing w:after="0"/>
        <w:ind w:firstLine="708"/>
        <w:jc w:val="both"/>
        <w:rPr>
          <w:lang w:val="en-US"/>
        </w:rPr>
      </w:pPr>
      <w:r w:rsidRPr="006960E1">
        <w:rPr>
          <w:lang w:val="en-US"/>
        </w:rPr>
        <w:t>Recommended underwriting cutoff:</w:t>
      </w:r>
      <w:r>
        <w:rPr>
          <w:lang w:val="en-US"/>
        </w:rPr>
        <w:t xml:space="preserve"> </w:t>
      </w:r>
      <w:r w:rsidRPr="006960E1">
        <w:rPr>
          <w:lang w:val="en-US"/>
        </w:rPr>
        <w:t>DTI should be capped at</w:t>
      </w:r>
      <w:r w:rsidR="00C30ADB">
        <w:rPr>
          <w:lang w:val="en-US"/>
        </w:rPr>
        <w:t xml:space="preserve"> </w:t>
      </w:r>
      <w:r w:rsidRPr="006960E1">
        <w:rPr>
          <w:lang w:val="en-US"/>
        </w:rPr>
        <w:t>approximately 40%.</w:t>
      </w:r>
    </w:p>
    <w:p w14:paraId="1AC3FBD5" w14:textId="60914EDC" w:rsidR="006960E1" w:rsidRDefault="006960E1">
      <w:pPr>
        <w:spacing w:line="259" w:lineRule="auto"/>
        <w:rPr>
          <w:b/>
          <w:bCs/>
          <w:lang w:val="en-US"/>
        </w:rPr>
      </w:pPr>
    </w:p>
    <w:p w14:paraId="471642B3" w14:textId="4F3A8836" w:rsidR="006960E1" w:rsidRDefault="006960E1" w:rsidP="006960E1">
      <w:pPr>
        <w:spacing w:after="0"/>
        <w:ind w:firstLine="708"/>
        <w:rPr>
          <w:b/>
          <w:bCs/>
          <w:lang w:val="en-US"/>
        </w:rPr>
      </w:pPr>
      <w:r w:rsidRPr="006960E1">
        <w:rPr>
          <w:b/>
          <w:bCs/>
          <w:lang w:val="en-US"/>
        </w:rPr>
        <w:lastRenderedPageBreak/>
        <w:t>3.</w:t>
      </w:r>
      <w:r w:rsidR="00C30ADB">
        <w:rPr>
          <w:b/>
          <w:bCs/>
          <w:lang w:val="en-US"/>
        </w:rPr>
        <w:t xml:space="preserve"> </w:t>
      </w:r>
      <w:r w:rsidRPr="006960E1">
        <w:rPr>
          <w:b/>
          <w:bCs/>
          <w:lang w:val="en-US"/>
        </w:rPr>
        <w:t>Loan Purpose &amp; Loan Amount Analysis</w:t>
      </w:r>
    </w:p>
    <w:p w14:paraId="07CDD9B9" w14:textId="77777777" w:rsidR="006960E1" w:rsidRDefault="006960E1" w:rsidP="006960E1">
      <w:pPr>
        <w:spacing w:after="0"/>
        <w:ind w:firstLine="708"/>
        <w:rPr>
          <w:lang w:val="en-US"/>
        </w:rPr>
      </w:pPr>
    </w:p>
    <w:p w14:paraId="40F83FED" w14:textId="0986E1BF" w:rsidR="006960E1" w:rsidRDefault="006960E1" w:rsidP="006960E1">
      <w:pPr>
        <w:spacing w:after="0"/>
        <w:ind w:left="708"/>
        <w:rPr>
          <w:lang w:val="en-US"/>
        </w:rPr>
      </w:pPr>
      <w:r w:rsidRPr="006960E1">
        <w:rPr>
          <w:lang w:val="en-US"/>
        </w:rPr>
        <w:t>Loan purpose distribution by default counts:</w:t>
      </w:r>
    </w:p>
    <w:p w14:paraId="70FD8B63" w14:textId="0119BD7D" w:rsidR="006960E1" w:rsidRPr="006960E1" w:rsidRDefault="006960E1" w:rsidP="006960E1">
      <w:pPr>
        <w:pStyle w:val="ListParagraph"/>
        <w:numPr>
          <w:ilvl w:val="0"/>
          <w:numId w:val="13"/>
        </w:numPr>
        <w:spacing w:after="0"/>
        <w:rPr>
          <w:lang w:val="en-US"/>
        </w:rPr>
      </w:pPr>
      <w:r w:rsidRPr="006960E1">
        <w:rPr>
          <w:b/>
          <w:bCs/>
          <w:lang w:val="en-US"/>
        </w:rPr>
        <w:t>Home Improvement:</w:t>
      </w:r>
      <w:r w:rsidRPr="006960E1">
        <w:rPr>
          <w:lang w:val="en-US"/>
        </w:rPr>
        <w:t xml:space="preserve"> 20</w:t>
      </w:r>
    </w:p>
    <w:p w14:paraId="2FBF5A4D" w14:textId="04064F38" w:rsidR="006960E1" w:rsidRPr="006960E1" w:rsidRDefault="006960E1" w:rsidP="006960E1">
      <w:pPr>
        <w:pStyle w:val="ListParagraph"/>
        <w:numPr>
          <w:ilvl w:val="0"/>
          <w:numId w:val="13"/>
        </w:numPr>
        <w:spacing w:after="0"/>
        <w:rPr>
          <w:lang w:val="en-US"/>
        </w:rPr>
      </w:pPr>
      <w:r w:rsidRPr="006960E1">
        <w:rPr>
          <w:b/>
          <w:bCs/>
          <w:lang w:val="en-US"/>
        </w:rPr>
        <w:t>Wedding:</w:t>
      </w:r>
      <w:r w:rsidRPr="006960E1">
        <w:rPr>
          <w:lang w:val="en-US"/>
        </w:rPr>
        <w:t xml:space="preserve"> 18</w:t>
      </w:r>
    </w:p>
    <w:p w14:paraId="77925EF3" w14:textId="20234477" w:rsidR="006960E1" w:rsidRPr="006960E1" w:rsidRDefault="006960E1" w:rsidP="006960E1">
      <w:pPr>
        <w:pStyle w:val="ListParagraph"/>
        <w:numPr>
          <w:ilvl w:val="0"/>
          <w:numId w:val="13"/>
        </w:numPr>
        <w:spacing w:after="0"/>
        <w:rPr>
          <w:lang w:val="en-US"/>
        </w:rPr>
      </w:pPr>
      <w:r w:rsidRPr="006960E1">
        <w:rPr>
          <w:b/>
          <w:bCs/>
          <w:lang w:val="en-US"/>
        </w:rPr>
        <w:t>Auto Loan:</w:t>
      </w:r>
      <w:r w:rsidRPr="006960E1">
        <w:rPr>
          <w:lang w:val="en-US"/>
        </w:rPr>
        <w:t xml:space="preserve"> 16</w:t>
      </w:r>
    </w:p>
    <w:p w14:paraId="6614E55C" w14:textId="6191597F" w:rsidR="006960E1" w:rsidRPr="006960E1" w:rsidRDefault="006960E1" w:rsidP="006960E1">
      <w:pPr>
        <w:pStyle w:val="ListParagraph"/>
        <w:numPr>
          <w:ilvl w:val="0"/>
          <w:numId w:val="13"/>
        </w:numPr>
        <w:spacing w:after="0"/>
        <w:rPr>
          <w:lang w:val="en-US"/>
        </w:rPr>
      </w:pPr>
      <w:r w:rsidRPr="006960E1">
        <w:rPr>
          <w:b/>
          <w:bCs/>
          <w:lang w:val="en-US"/>
        </w:rPr>
        <w:t>Major Purchase:</w:t>
      </w:r>
      <w:r w:rsidRPr="006960E1">
        <w:rPr>
          <w:lang w:val="en-US"/>
        </w:rPr>
        <w:t xml:space="preserve"> 15</w:t>
      </w:r>
    </w:p>
    <w:p w14:paraId="5B5CC73C" w14:textId="75AF4FB2" w:rsidR="006960E1" w:rsidRPr="006960E1" w:rsidRDefault="006960E1" w:rsidP="006960E1">
      <w:pPr>
        <w:pStyle w:val="ListParagraph"/>
        <w:numPr>
          <w:ilvl w:val="0"/>
          <w:numId w:val="13"/>
        </w:numPr>
        <w:spacing w:after="0"/>
        <w:rPr>
          <w:lang w:val="en-US"/>
        </w:rPr>
      </w:pPr>
      <w:r w:rsidRPr="006960E1">
        <w:rPr>
          <w:b/>
          <w:bCs/>
          <w:lang w:val="en-US"/>
        </w:rPr>
        <w:t xml:space="preserve">Vacation: </w:t>
      </w:r>
      <w:r w:rsidRPr="006960E1">
        <w:rPr>
          <w:lang w:val="en-US"/>
        </w:rPr>
        <w:t>14</w:t>
      </w:r>
    </w:p>
    <w:p w14:paraId="688741EC" w14:textId="33844DF4" w:rsidR="006960E1" w:rsidRPr="006960E1" w:rsidRDefault="006960E1" w:rsidP="006960E1">
      <w:pPr>
        <w:pStyle w:val="ListParagraph"/>
        <w:numPr>
          <w:ilvl w:val="0"/>
          <w:numId w:val="13"/>
        </w:numPr>
        <w:spacing w:after="0"/>
        <w:rPr>
          <w:lang w:val="en-US"/>
        </w:rPr>
      </w:pPr>
      <w:r w:rsidRPr="006960E1">
        <w:rPr>
          <w:b/>
          <w:bCs/>
          <w:lang w:val="en-US"/>
        </w:rPr>
        <w:t>Medical Expenses:</w:t>
      </w:r>
      <w:r w:rsidRPr="006960E1">
        <w:rPr>
          <w:lang w:val="en-US"/>
        </w:rPr>
        <w:t xml:space="preserve"> 14</w:t>
      </w:r>
    </w:p>
    <w:p w14:paraId="11EB66F6" w14:textId="6D536631" w:rsidR="006960E1" w:rsidRPr="006960E1" w:rsidRDefault="006960E1" w:rsidP="006960E1">
      <w:pPr>
        <w:pStyle w:val="ListParagraph"/>
        <w:numPr>
          <w:ilvl w:val="0"/>
          <w:numId w:val="13"/>
        </w:numPr>
        <w:spacing w:after="0"/>
        <w:rPr>
          <w:lang w:val="en-US"/>
        </w:rPr>
      </w:pPr>
      <w:r w:rsidRPr="006960E1">
        <w:rPr>
          <w:b/>
          <w:bCs/>
          <w:lang w:val="en-US"/>
        </w:rPr>
        <w:t xml:space="preserve">Business Loan: </w:t>
      </w:r>
      <w:r w:rsidRPr="006960E1">
        <w:rPr>
          <w:lang w:val="en-US"/>
        </w:rPr>
        <w:t>14</w:t>
      </w:r>
    </w:p>
    <w:p w14:paraId="513ECD25" w14:textId="62EE5C2F" w:rsidR="006960E1" w:rsidRPr="006960E1" w:rsidRDefault="006960E1" w:rsidP="006960E1">
      <w:pPr>
        <w:pStyle w:val="ListParagraph"/>
        <w:numPr>
          <w:ilvl w:val="0"/>
          <w:numId w:val="13"/>
        </w:numPr>
        <w:spacing w:after="0"/>
        <w:rPr>
          <w:lang w:val="en-US"/>
        </w:rPr>
      </w:pPr>
      <w:r w:rsidRPr="006960E1">
        <w:rPr>
          <w:b/>
          <w:bCs/>
          <w:lang w:val="en-US"/>
        </w:rPr>
        <w:t>Moving:</w:t>
      </w:r>
      <w:r w:rsidRPr="006960E1">
        <w:rPr>
          <w:lang w:val="en-US"/>
        </w:rPr>
        <w:t xml:space="preserve"> 12</w:t>
      </w:r>
    </w:p>
    <w:p w14:paraId="460D6619" w14:textId="0B129517" w:rsidR="006960E1" w:rsidRPr="006960E1" w:rsidRDefault="006960E1" w:rsidP="006960E1">
      <w:pPr>
        <w:pStyle w:val="ListParagraph"/>
        <w:numPr>
          <w:ilvl w:val="0"/>
          <w:numId w:val="13"/>
        </w:numPr>
        <w:spacing w:after="0"/>
        <w:rPr>
          <w:lang w:val="en-US"/>
        </w:rPr>
      </w:pPr>
      <w:r w:rsidRPr="006960E1">
        <w:rPr>
          <w:b/>
          <w:bCs/>
          <w:lang w:val="en-US"/>
        </w:rPr>
        <w:t>Education:</w:t>
      </w:r>
      <w:r w:rsidRPr="006960E1">
        <w:rPr>
          <w:lang w:val="en-US"/>
        </w:rPr>
        <w:t xml:space="preserve"> 12</w:t>
      </w:r>
    </w:p>
    <w:p w14:paraId="7FD2C121" w14:textId="7150DBCE" w:rsidR="006960E1" w:rsidRDefault="006960E1" w:rsidP="006960E1">
      <w:pPr>
        <w:pStyle w:val="ListParagraph"/>
        <w:numPr>
          <w:ilvl w:val="0"/>
          <w:numId w:val="13"/>
        </w:numPr>
        <w:spacing w:after="0"/>
        <w:rPr>
          <w:lang w:val="en-US"/>
        </w:rPr>
      </w:pPr>
      <w:r w:rsidRPr="006960E1">
        <w:rPr>
          <w:b/>
          <w:bCs/>
          <w:lang w:val="en-US"/>
        </w:rPr>
        <w:t>Debt Consolidation:</w:t>
      </w:r>
      <w:r w:rsidRPr="006960E1">
        <w:rPr>
          <w:lang w:val="en-US"/>
        </w:rPr>
        <w:t xml:space="preserve"> 11</w:t>
      </w:r>
    </w:p>
    <w:p w14:paraId="0ADBD1E4" w14:textId="50E68DF9" w:rsidR="006960E1" w:rsidRDefault="006960E1" w:rsidP="006960E1">
      <w:pPr>
        <w:spacing w:after="0"/>
        <w:ind w:firstLine="708"/>
        <w:jc w:val="both"/>
        <w:rPr>
          <w:lang w:val="en-US"/>
        </w:rPr>
      </w:pPr>
      <w:r w:rsidRPr="006960E1">
        <w:rPr>
          <w:lang w:val="en-US"/>
        </w:rPr>
        <w:t>The highest default counts are observed in Home Improvement and Wedding-related loans.</w:t>
      </w:r>
    </w:p>
    <w:p w14:paraId="07038CE5" w14:textId="77777777" w:rsidR="006960E1" w:rsidRDefault="006960E1" w:rsidP="006960E1">
      <w:pPr>
        <w:spacing w:after="0"/>
        <w:ind w:firstLine="708"/>
        <w:jc w:val="both"/>
        <w:rPr>
          <w:lang w:val="en-US"/>
        </w:rPr>
      </w:pPr>
    </w:p>
    <w:p w14:paraId="59637C93" w14:textId="77777777" w:rsidR="006960E1" w:rsidRDefault="006960E1" w:rsidP="006960E1">
      <w:pPr>
        <w:spacing w:after="0"/>
        <w:ind w:firstLine="708"/>
        <w:rPr>
          <w:lang w:val="en-US"/>
        </w:rPr>
      </w:pPr>
      <w:r w:rsidRPr="006960E1">
        <w:rPr>
          <w:lang w:val="en-US"/>
        </w:rPr>
        <w:t>Loan amount comparison:</w:t>
      </w:r>
      <w:r w:rsidRPr="006960E1">
        <w:rPr>
          <w:lang w:val="en-US"/>
        </w:rPr>
        <w:br/>
      </w:r>
    </w:p>
    <w:p w14:paraId="4CFAD0BA" w14:textId="2C50D305" w:rsidR="006960E1" w:rsidRPr="006960E1" w:rsidRDefault="006960E1" w:rsidP="006960E1">
      <w:pPr>
        <w:pStyle w:val="ListParagraph"/>
        <w:numPr>
          <w:ilvl w:val="0"/>
          <w:numId w:val="14"/>
        </w:numPr>
        <w:spacing w:after="0"/>
        <w:rPr>
          <w:lang w:val="en-US"/>
        </w:rPr>
      </w:pPr>
      <w:r w:rsidRPr="006960E1">
        <w:rPr>
          <w:b/>
          <w:bCs/>
          <w:lang w:val="en-US"/>
        </w:rPr>
        <w:t>Defaulted loans average:</w:t>
      </w:r>
      <w:r w:rsidRPr="006960E1">
        <w:rPr>
          <w:lang w:val="en-US"/>
        </w:rPr>
        <w:t xml:space="preserve"> 22570.5</w:t>
      </w:r>
    </w:p>
    <w:p w14:paraId="4F1AA6FE" w14:textId="4C852E5F" w:rsidR="006960E1" w:rsidRDefault="006960E1" w:rsidP="006960E1">
      <w:pPr>
        <w:pStyle w:val="ListParagraph"/>
        <w:numPr>
          <w:ilvl w:val="0"/>
          <w:numId w:val="14"/>
        </w:numPr>
        <w:spacing w:after="0"/>
        <w:rPr>
          <w:lang w:val="en-US"/>
        </w:rPr>
      </w:pPr>
      <w:r w:rsidRPr="006960E1">
        <w:rPr>
          <w:b/>
          <w:bCs/>
          <w:lang w:val="en-US"/>
        </w:rPr>
        <w:t>Non-defaulted loans average:</w:t>
      </w:r>
      <w:r w:rsidRPr="006960E1">
        <w:rPr>
          <w:lang w:val="en-US"/>
        </w:rPr>
        <w:t xml:space="preserve"> 22012.7</w:t>
      </w:r>
    </w:p>
    <w:p w14:paraId="08F2F5D1" w14:textId="77777777" w:rsidR="006960E1" w:rsidRPr="006960E1" w:rsidRDefault="006960E1" w:rsidP="006960E1">
      <w:pPr>
        <w:pStyle w:val="ListParagraph"/>
        <w:spacing w:after="0"/>
        <w:ind w:left="1428"/>
        <w:rPr>
          <w:lang w:val="en-US"/>
        </w:rPr>
      </w:pPr>
    </w:p>
    <w:p w14:paraId="081AA744" w14:textId="030B019A" w:rsidR="006960E1" w:rsidRDefault="006960E1" w:rsidP="006960E1">
      <w:pPr>
        <w:spacing w:after="0"/>
        <w:ind w:firstLine="708"/>
        <w:jc w:val="both"/>
        <w:rPr>
          <w:lang w:val="en-US"/>
        </w:rPr>
      </w:pPr>
      <w:r w:rsidRPr="006960E1">
        <w:rPr>
          <w:lang w:val="en-US"/>
        </w:rPr>
        <w:t>The difference in average loan amount between groups is minimal</w:t>
      </w:r>
      <w:r>
        <w:rPr>
          <w:lang w:val="en-US"/>
        </w:rPr>
        <w:t xml:space="preserve"> (557.8)</w:t>
      </w:r>
      <w:r w:rsidRPr="006960E1">
        <w:rPr>
          <w:lang w:val="en-US"/>
        </w:rPr>
        <w:t>, indicating weak separation. Loan purpose provides more signal than loan amount, while loan size alone is not a strong predictor of default risk.</w:t>
      </w:r>
    </w:p>
    <w:p w14:paraId="2E20CD2D" w14:textId="382A7AA9" w:rsidR="00C30ADB" w:rsidRDefault="00C30ADB" w:rsidP="00C30ADB">
      <w:pPr>
        <w:spacing w:after="0"/>
        <w:jc w:val="both"/>
        <w:rPr>
          <w:lang w:val="en-US"/>
        </w:rPr>
      </w:pPr>
    </w:p>
    <w:p w14:paraId="76F256E4" w14:textId="1550597A" w:rsidR="006960E1" w:rsidRDefault="006960E1" w:rsidP="006960E1">
      <w:pPr>
        <w:spacing w:after="0"/>
        <w:ind w:firstLine="708"/>
        <w:jc w:val="both"/>
        <w:rPr>
          <w:b/>
          <w:bCs/>
          <w:lang w:val="en-US"/>
        </w:rPr>
      </w:pPr>
      <w:r>
        <w:rPr>
          <w:b/>
          <w:bCs/>
          <w:lang w:val="en-US"/>
        </w:rPr>
        <w:t>4.</w:t>
      </w:r>
      <w:r w:rsidR="00C30ADB">
        <w:rPr>
          <w:b/>
          <w:bCs/>
          <w:lang w:val="en-US"/>
        </w:rPr>
        <w:t xml:space="preserve"> </w:t>
      </w:r>
      <w:r w:rsidRPr="00C30ADB">
        <w:rPr>
          <w:b/>
          <w:bCs/>
          <w:lang w:val="en-US"/>
        </w:rPr>
        <w:t>Employment Status &amp; Employment Duration Impact</w:t>
      </w:r>
    </w:p>
    <w:p w14:paraId="2E01372B" w14:textId="77777777" w:rsidR="006960E1" w:rsidRDefault="006960E1" w:rsidP="006960E1">
      <w:pPr>
        <w:spacing w:after="0"/>
        <w:ind w:firstLine="708"/>
        <w:jc w:val="both"/>
        <w:rPr>
          <w:b/>
          <w:bCs/>
          <w:lang w:val="en-US"/>
        </w:rPr>
      </w:pPr>
    </w:p>
    <w:p w14:paraId="18D68FE2" w14:textId="1F95C77F" w:rsidR="006960E1" w:rsidRPr="006960E1" w:rsidRDefault="006960E1" w:rsidP="006960E1">
      <w:pPr>
        <w:spacing w:after="0"/>
        <w:ind w:firstLine="708"/>
        <w:jc w:val="both"/>
        <w:rPr>
          <w:lang w:val="en-US"/>
        </w:rPr>
      </w:pPr>
      <w:r w:rsidRPr="006960E1">
        <w:rPr>
          <w:lang w:val="en-US"/>
        </w:rPr>
        <w:t>Default rate by employment status:</w:t>
      </w:r>
    </w:p>
    <w:p w14:paraId="017CA6D3" w14:textId="4906A932" w:rsidR="006960E1" w:rsidRDefault="006960E1" w:rsidP="006960E1">
      <w:pPr>
        <w:pStyle w:val="ListParagraph"/>
        <w:numPr>
          <w:ilvl w:val="0"/>
          <w:numId w:val="15"/>
        </w:numPr>
        <w:spacing w:after="0"/>
        <w:jc w:val="both"/>
        <w:rPr>
          <w:lang w:val="en-US"/>
        </w:rPr>
      </w:pPr>
      <w:r w:rsidRPr="006960E1">
        <w:rPr>
          <w:b/>
          <w:bCs/>
          <w:lang w:val="en-US"/>
        </w:rPr>
        <w:t>Contract:</w:t>
      </w:r>
      <w:r w:rsidRPr="006960E1">
        <w:rPr>
          <w:lang w:val="en-US"/>
        </w:rPr>
        <w:t xml:space="preserve"> 0.22727</w:t>
      </w:r>
    </w:p>
    <w:p w14:paraId="195C6852" w14:textId="78B16899" w:rsidR="006960E1" w:rsidRDefault="006960E1" w:rsidP="006960E1">
      <w:pPr>
        <w:pStyle w:val="ListParagraph"/>
        <w:numPr>
          <w:ilvl w:val="0"/>
          <w:numId w:val="15"/>
        </w:numPr>
        <w:spacing w:after="0"/>
        <w:jc w:val="both"/>
        <w:rPr>
          <w:lang w:val="en-US"/>
        </w:rPr>
      </w:pPr>
      <w:r w:rsidRPr="006960E1">
        <w:rPr>
          <w:b/>
          <w:bCs/>
          <w:lang w:val="en-US"/>
        </w:rPr>
        <w:t>Retired:</w:t>
      </w:r>
      <w:r w:rsidRPr="006960E1">
        <w:rPr>
          <w:lang w:val="en-US"/>
        </w:rPr>
        <w:t xml:space="preserve"> 0.23333</w:t>
      </w:r>
    </w:p>
    <w:p w14:paraId="63F31917" w14:textId="7F1F8EAC" w:rsidR="006960E1" w:rsidRDefault="006960E1" w:rsidP="006960E1">
      <w:pPr>
        <w:pStyle w:val="ListParagraph"/>
        <w:numPr>
          <w:ilvl w:val="0"/>
          <w:numId w:val="15"/>
        </w:numPr>
        <w:spacing w:after="0"/>
        <w:jc w:val="both"/>
        <w:rPr>
          <w:lang w:val="en-US"/>
        </w:rPr>
      </w:pPr>
      <w:r w:rsidRPr="006960E1">
        <w:rPr>
          <w:b/>
          <w:bCs/>
          <w:lang w:val="en-US"/>
        </w:rPr>
        <w:t>Full-time:</w:t>
      </w:r>
      <w:r w:rsidRPr="006960E1">
        <w:rPr>
          <w:lang w:val="en-US"/>
        </w:rPr>
        <w:t xml:space="preserve"> 0.23934</w:t>
      </w:r>
    </w:p>
    <w:p w14:paraId="7B0F1E15" w14:textId="0E0208FD" w:rsidR="006960E1" w:rsidRDefault="006960E1" w:rsidP="006960E1">
      <w:pPr>
        <w:pStyle w:val="ListParagraph"/>
        <w:numPr>
          <w:ilvl w:val="0"/>
          <w:numId w:val="15"/>
        </w:numPr>
        <w:spacing w:after="0"/>
        <w:jc w:val="both"/>
        <w:rPr>
          <w:lang w:val="en-US"/>
        </w:rPr>
      </w:pPr>
      <w:r w:rsidRPr="006960E1">
        <w:rPr>
          <w:b/>
          <w:bCs/>
          <w:lang w:val="en-US"/>
        </w:rPr>
        <w:t>Self-employed:</w:t>
      </w:r>
      <w:r w:rsidRPr="006960E1">
        <w:rPr>
          <w:lang w:val="en-US"/>
        </w:rPr>
        <w:t xml:space="preserve"> 0.24762</w:t>
      </w:r>
    </w:p>
    <w:p w14:paraId="586815DA" w14:textId="00168594" w:rsidR="006960E1" w:rsidRDefault="006960E1" w:rsidP="006960E1">
      <w:pPr>
        <w:pStyle w:val="ListParagraph"/>
        <w:numPr>
          <w:ilvl w:val="0"/>
          <w:numId w:val="15"/>
        </w:numPr>
        <w:spacing w:after="0"/>
        <w:jc w:val="both"/>
        <w:rPr>
          <w:lang w:val="en-US"/>
        </w:rPr>
      </w:pPr>
      <w:r w:rsidRPr="006960E1">
        <w:rPr>
          <w:b/>
          <w:bCs/>
          <w:lang w:val="en-US"/>
        </w:rPr>
        <w:t>Part-time:</w:t>
      </w:r>
      <w:r w:rsidRPr="006960E1">
        <w:rPr>
          <w:lang w:val="en-US"/>
        </w:rPr>
        <w:t xml:space="preserve"> 0.27692</w:t>
      </w:r>
    </w:p>
    <w:p w14:paraId="0EC01CDE" w14:textId="77777777" w:rsidR="006960E1" w:rsidRDefault="006960E1" w:rsidP="006960E1">
      <w:pPr>
        <w:spacing w:after="0"/>
        <w:jc w:val="both"/>
        <w:rPr>
          <w:lang w:val="en-US"/>
        </w:rPr>
      </w:pPr>
    </w:p>
    <w:p w14:paraId="642F7218" w14:textId="22717843" w:rsidR="006960E1" w:rsidRDefault="006960E1" w:rsidP="006960E1">
      <w:pPr>
        <w:spacing w:after="0"/>
        <w:ind w:firstLine="708"/>
        <w:jc w:val="both"/>
        <w:rPr>
          <w:lang w:val="en-US"/>
        </w:rPr>
      </w:pPr>
      <w:r w:rsidRPr="006960E1">
        <w:rPr>
          <w:lang w:val="en-US"/>
        </w:rPr>
        <w:t>Default risk increases as employment stability decreases, with part-time and self-employed borrowers showing the highest risk.</w:t>
      </w:r>
    </w:p>
    <w:p w14:paraId="2F7A87CB" w14:textId="0AB84CB1" w:rsidR="006960E1" w:rsidRDefault="006960E1" w:rsidP="006960E1">
      <w:pPr>
        <w:spacing w:after="0"/>
        <w:ind w:firstLine="708"/>
        <w:jc w:val="both"/>
        <w:rPr>
          <w:lang w:val="en-US"/>
        </w:rPr>
      </w:pPr>
      <w:r w:rsidRPr="006960E1">
        <w:rPr>
          <w:lang w:val="en-US"/>
        </w:rPr>
        <w:t>Employment duration impact:</w:t>
      </w:r>
    </w:p>
    <w:p w14:paraId="7CF8B850" w14:textId="5B62E2E3" w:rsidR="006960E1" w:rsidRPr="006960E1" w:rsidRDefault="006960E1" w:rsidP="006960E1">
      <w:pPr>
        <w:pStyle w:val="ListParagraph"/>
        <w:numPr>
          <w:ilvl w:val="0"/>
          <w:numId w:val="16"/>
        </w:numPr>
        <w:spacing w:after="0"/>
        <w:jc w:val="both"/>
        <w:rPr>
          <w:lang w:val="en-US"/>
        </w:rPr>
      </w:pPr>
      <w:r w:rsidRPr="006960E1">
        <w:rPr>
          <w:b/>
          <w:bCs/>
          <w:lang w:val="en-US"/>
        </w:rPr>
        <w:t>Less than 2 years:</w:t>
      </w:r>
      <w:r w:rsidRPr="006960E1">
        <w:rPr>
          <w:lang w:val="en-US"/>
        </w:rPr>
        <w:t xml:space="preserve"> 0.3452</w:t>
      </w:r>
    </w:p>
    <w:p w14:paraId="28777FAC" w14:textId="5D78C3B4" w:rsidR="006960E1" w:rsidRDefault="006960E1" w:rsidP="006960E1">
      <w:pPr>
        <w:pStyle w:val="ListParagraph"/>
        <w:numPr>
          <w:ilvl w:val="0"/>
          <w:numId w:val="16"/>
        </w:numPr>
        <w:spacing w:after="0"/>
        <w:jc w:val="both"/>
        <w:rPr>
          <w:lang w:val="en-US"/>
        </w:rPr>
      </w:pPr>
      <w:r w:rsidRPr="006960E1">
        <w:rPr>
          <w:b/>
          <w:bCs/>
          <w:lang w:val="en-US"/>
        </w:rPr>
        <w:t>2 years or more:</w:t>
      </w:r>
      <w:r w:rsidRPr="006960E1">
        <w:rPr>
          <w:lang w:val="en-US"/>
        </w:rPr>
        <w:t xml:space="preserve"> 0.2263</w:t>
      </w:r>
    </w:p>
    <w:p w14:paraId="18883019" w14:textId="77777777" w:rsidR="006960E1" w:rsidRDefault="006960E1" w:rsidP="006960E1">
      <w:pPr>
        <w:spacing w:after="0"/>
        <w:jc w:val="both"/>
        <w:rPr>
          <w:lang w:val="en-US"/>
        </w:rPr>
      </w:pPr>
    </w:p>
    <w:p w14:paraId="007188FA" w14:textId="5C7B9C74" w:rsidR="006960E1" w:rsidRDefault="006960E1" w:rsidP="006960E1">
      <w:pPr>
        <w:spacing w:after="0"/>
        <w:ind w:firstLine="708"/>
        <w:jc w:val="both"/>
        <w:rPr>
          <w:lang w:val="en-US"/>
        </w:rPr>
      </w:pPr>
      <w:r w:rsidRPr="006960E1">
        <w:rPr>
          <w:lang w:val="en-US"/>
        </w:rPr>
        <w:t>Borrowers with less than 2 years of employment show significantly higher default risk compared to those with longer employment history.</w:t>
      </w:r>
    </w:p>
    <w:p w14:paraId="179A1B28" w14:textId="0FB722F1" w:rsidR="00C30ADB" w:rsidRPr="00C30ADB" w:rsidRDefault="00C30ADB" w:rsidP="006960E1">
      <w:pPr>
        <w:spacing w:after="0"/>
        <w:ind w:firstLine="708"/>
        <w:jc w:val="both"/>
        <w:rPr>
          <w:lang w:val="en-US"/>
        </w:rPr>
      </w:pPr>
      <w:r w:rsidRPr="00C30ADB">
        <w:rPr>
          <w:lang w:val="en-US"/>
        </w:rPr>
        <w:lastRenderedPageBreak/>
        <w:t>Overall, the analysis indicates that default risk in the portfolio is primarily driven by borrower quality and financial stability rather than loan size. Lower credit scores, higher debt-to-income ratios, and shorter employment histories are consistently associated with higher default rates, while employment stability further reinforces repayment reliability. Loan purpose shows moderate variation in risk levels, whereas loan amount alone does not meaningfully distinguish between defaulted and non-defaulted borrowers. These findings suggest that underwriting decisions should prioritize creditworthiness and income stability metrics over loan exposure size to more effectively control portfolio risk.</w:t>
      </w:r>
    </w:p>
    <w:sectPr w:rsidR="00C30ADB" w:rsidRPr="00C30ADB" w:rsidSect="002A6219">
      <w:pgSz w:w="11906" w:h="16838" w:code="9"/>
      <w:pgMar w:top="1440" w:right="1440" w:bottom="1440" w:left="144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DF3"/>
    <w:multiLevelType w:val="hybridMultilevel"/>
    <w:tmpl w:val="AF4A5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A73620"/>
    <w:multiLevelType w:val="hybridMultilevel"/>
    <w:tmpl w:val="29E0BC2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19E11529"/>
    <w:multiLevelType w:val="hybridMultilevel"/>
    <w:tmpl w:val="E8A2291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 w15:restartNumberingAfterBreak="0">
    <w:nsid w:val="29EA2588"/>
    <w:multiLevelType w:val="hybridMultilevel"/>
    <w:tmpl w:val="FC3C2C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2B465F46"/>
    <w:multiLevelType w:val="hybridMultilevel"/>
    <w:tmpl w:val="B432580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2CC53156"/>
    <w:multiLevelType w:val="multilevel"/>
    <w:tmpl w:val="EB7EF5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675204"/>
    <w:multiLevelType w:val="multilevel"/>
    <w:tmpl w:val="4BC677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3207F5"/>
    <w:multiLevelType w:val="hybridMultilevel"/>
    <w:tmpl w:val="F0DCE26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8" w15:restartNumberingAfterBreak="0">
    <w:nsid w:val="3BEB6592"/>
    <w:multiLevelType w:val="hybridMultilevel"/>
    <w:tmpl w:val="649048D4"/>
    <w:lvl w:ilvl="0" w:tplc="9866E66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21433DB"/>
    <w:multiLevelType w:val="hybridMultilevel"/>
    <w:tmpl w:val="50D6A87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0" w15:restartNumberingAfterBreak="0">
    <w:nsid w:val="448A2C0F"/>
    <w:multiLevelType w:val="multilevel"/>
    <w:tmpl w:val="E7183F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9704A5"/>
    <w:multiLevelType w:val="hybridMultilevel"/>
    <w:tmpl w:val="C7967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F02119"/>
    <w:multiLevelType w:val="hybridMultilevel"/>
    <w:tmpl w:val="FEBE524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54C8559E"/>
    <w:multiLevelType w:val="hybridMultilevel"/>
    <w:tmpl w:val="8CBC8C0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65C50607"/>
    <w:multiLevelType w:val="multilevel"/>
    <w:tmpl w:val="DFE0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367215"/>
    <w:multiLevelType w:val="hybridMultilevel"/>
    <w:tmpl w:val="B7E0A08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6" w15:restartNumberingAfterBreak="0">
    <w:nsid w:val="6B404CF7"/>
    <w:multiLevelType w:val="hybridMultilevel"/>
    <w:tmpl w:val="E604C59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190800725">
    <w:abstractNumId w:val="14"/>
  </w:num>
  <w:num w:numId="2" w16cid:durableId="1243023457">
    <w:abstractNumId w:val="10"/>
  </w:num>
  <w:num w:numId="3" w16cid:durableId="491260121">
    <w:abstractNumId w:val="6"/>
  </w:num>
  <w:num w:numId="4" w16cid:durableId="1766029010">
    <w:abstractNumId w:val="5"/>
  </w:num>
  <w:num w:numId="5" w16cid:durableId="858474574">
    <w:abstractNumId w:val="4"/>
  </w:num>
  <w:num w:numId="6" w16cid:durableId="678315401">
    <w:abstractNumId w:val="13"/>
  </w:num>
  <w:num w:numId="7" w16cid:durableId="431777141">
    <w:abstractNumId w:val="0"/>
  </w:num>
  <w:num w:numId="8" w16cid:durableId="614605874">
    <w:abstractNumId w:val="11"/>
  </w:num>
  <w:num w:numId="9" w16cid:durableId="606305680">
    <w:abstractNumId w:val="12"/>
  </w:num>
  <w:num w:numId="10" w16cid:durableId="855538150">
    <w:abstractNumId w:val="7"/>
  </w:num>
  <w:num w:numId="11" w16cid:durableId="47850835">
    <w:abstractNumId w:val="3"/>
  </w:num>
  <w:num w:numId="12" w16cid:durableId="1275789734">
    <w:abstractNumId w:val="15"/>
  </w:num>
  <w:num w:numId="13" w16cid:durableId="2074347852">
    <w:abstractNumId w:val="16"/>
  </w:num>
  <w:num w:numId="14" w16cid:durableId="607395952">
    <w:abstractNumId w:val="2"/>
  </w:num>
  <w:num w:numId="15" w16cid:durableId="171073403">
    <w:abstractNumId w:val="9"/>
  </w:num>
  <w:num w:numId="16" w16cid:durableId="751242881">
    <w:abstractNumId w:val="1"/>
  </w:num>
  <w:num w:numId="17" w16cid:durableId="3568086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0E1"/>
    <w:rsid w:val="002A6219"/>
    <w:rsid w:val="005A0E24"/>
    <w:rsid w:val="006960E1"/>
    <w:rsid w:val="006C0B77"/>
    <w:rsid w:val="008242FF"/>
    <w:rsid w:val="00870751"/>
    <w:rsid w:val="00922C48"/>
    <w:rsid w:val="009A26EC"/>
    <w:rsid w:val="00A227B3"/>
    <w:rsid w:val="00B915B7"/>
    <w:rsid w:val="00C30ADB"/>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8958F"/>
  <w15:chartTrackingRefBased/>
  <w15:docId w15:val="{11152240-969A-43D1-9F22-7F679710B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6960E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960E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960E1"/>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6960E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0E1"/>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6960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60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60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60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0E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960E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960E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960E1"/>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6960E1"/>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6960E1"/>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6960E1"/>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6960E1"/>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6960E1"/>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6960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0E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96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0E1"/>
    <w:pPr>
      <w:spacing w:before="160"/>
      <w:jc w:val="center"/>
    </w:pPr>
    <w:rPr>
      <w:i/>
      <w:iCs/>
      <w:color w:val="404040" w:themeColor="text1" w:themeTint="BF"/>
    </w:rPr>
  </w:style>
  <w:style w:type="character" w:customStyle="1" w:styleId="QuoteChar">
    <w:name w:val="Quote Char"/>
    <w:basedOn w:val="DefaultParagraphFont"/>
    <w:link w:val="Quote"/>
    <w:uiPriority w:val="29"/>
    <w:rsid w:val="006960E1"/>
    <w:rPr>
      <w:rFonts w:ascii="Times New Roman" w:hAnsi="Times New Roman"/>
      <w:i/>
      <w:iCs/>
      <w:color w:val="404040" w:themeColor="text1" w:themeTint="BF"/>
      <w:sz w:val="28"/>
    </w:rPr>
  </w:style>
  <w:style w:type="paragraph" w:styleId="ListParagraph">
    <w:name w:val="List Paragraph"/>
    <w:basedOn w:val="Normal"/>
    <w:uiPriority w:val="34"/>
    <w:qFormat/>
    <w:rsid w:val="006960E1"/>
    <w:pPr>
      <w:ind w:left="720"/>
      <w:contextualSpacing/>
    </w:pPr>
  </w:style>
  <w:style w:type="character" w:styleId="IntenseEmphasis">
    <w:name w:val="Intense Emphasis"/>
    <w:basedOn w:val="DefaultParagraphFont"/>
    <w:uiPriority w:val="21"/>
    <w:qFormat/>
    <w:rsid w:val="006960E1"/>
    <w:rPr>
      <w:i/>
      <w:iCs/>
      <w:color w:val="2E74B5" w:themeColor="accent1" w:themeShade="BF"/>
    </w:rPr>
  </w:style>
  <w:style w:type="paragraph" w:styleId="IntenseQuote">
    <w:name w:val="Intense Quote"/>
    <w:basedOn w:val="Normal"/>
    <w:next w:val="Normal"/>
    <w:link w:val="IntenseQuoteChar"/>
    <w:uiPriority w:val="30"/>
    <w:qFormat/>
    <w:rsid w:val="006960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60E1"/>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6960E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H</dc:creator>
  <cp:keywords/>
  <dc:description/>
  <cp:lastModifiedBy>Shah H</cp:lastModifiedBy>
  <cp:revision>1</cp:revision>
  <dcterms:created xsi:type="dcterms:W3CDTF">2026-05-02T14:41:00Z</dcterms:created>
  <dcterms:modified xsi:type="dcterms:W3CDTF">2026-05-02T14:54:00Z</dcterms:modified>
</cp:coreProperties>
</file>