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70" w:before="150"/>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Delivered in cross-functional teams of 5 to 22 people.</w:t>
      </w:r>
    </w:p>
    <w:p>
      <w:pPr>
        <w:pBdr>
          <w:bottom w:val="single" w:color="1F3864" w:sz="6" w:space="2"/>
        </w:pBdr>
        <w:spacing w:after="70" w:before="15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70" w:before="150"/>
      </w:pPr>
      <w:r>
        <w:rPr>
          <w:b/>
          <w:bCs/>
          <w:color w:val="1F3864"/>
          <w:sz w:val="22"/>
          <w:szCs w:val="22"/>
        </w:rPr>
        <w:t xml:space="preserve">PROFESSIONAL EXPERIENCE</w:t>
      </w:r>
    </w:p>
    <w:p>
      <w:pPr>
        <w:spacing w:after="40" w:before="155"/>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55"/>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55"/>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55"/>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55"/>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70" w:before="150"/>
      </w:pPr>
      <w:r>
        <w:rPr>
          <w:b/>
          <w:bCs/>
          <w:color w:val="1F3864"/>
          <w:sz w:val="22"/>
          <w:szCs w:val="22"/>
        </w:rPr>
        <w:t xml:space="preserve">SELECTED PROJECTS</w:t>
      </w:r>
    </w:p>
    <w:p>
      <w:pPr>
        <w:spacing w:after="30" w:before="90"/>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 B2B 15 and MES 7 members</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90"/>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90"/>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90"/>
      </w:pPr>
      <w:r>
        <w:rPr>
          <w:b/>
          <w:bCs/>
          <w:color w:val="1F3864"/>
          <w:sz w:val="21"/>
          <w:szCs w:val="21"/>
        </w:rPr>
        <w:t xml:space="preserve">E-commerce &amp; Payment Integrations — 3 platforms</w:t>
      </w:r>
    </w:p>
    <w:p>
      <w:pPr>
        <w:spacing w:after="60"/>
      </w:pPr>
      <w:r>
        <w:rPr>
          <w:i/>
          <w:iCs/>
          <w:color w:val="555555"/>
          <w:sz w:val="19"/>
          <w:szCs w:val="19"/>
        </w:rPr>
        <w:t xml:space="preserve">2022 – 2025  |  Japanese &amp; Vietnamese clients  |  6–20 member teams</w:t>
      </w:r>
    </w:p>
    <w:p>
      <w:pPr>
        <w:pStyle w:val="ListParagraph"/>
        <w:numPr>
          <w:ilvl w:val="0"/>
          <w:numId w:val="1"/>
        </w:numPr>
        <w:spacing w:after="4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90"/>
      </w:pPr>
      <w:r>
        <w:rPr>
          <w:b/>
          <w:bCs/>
          <w:color w:val="1F3864"/>
          <w:sz w:val="21"/>
          <w:szCs w:val="21"/>
        </w:rPr>
        <w:t xml:space="preserve">AI Skin Analysis &amp; Booking Platform (“SBea”)</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90"/>
      </w:pPr>
      <w:r>
        <w:rPr>
          <w:b/>
          <w:bCs/>
          <w:color w:val="1F3864"/>
          <w:sz w:val="21"/>
          <w:szCs w:val="21"/>
        </w:rPr>
        <w:t xml:space="preserve">Project Management &amp; Recruitment Platform (“En”)</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90"/>
      </w:pPr>
      <w:r>
        <w:rPr>
          <w:b/>
          <w:bCs/>
          <w:color w:val="1F3864"/>
          <w:sz w:val="21"/>
          <w:szCs w:val="21"/>
        </w:rPr>
        <w:t xml:space="preserve">Driver Booking Platform (“Viet”)</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90"/>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70" w:before="150"/>
      </w:pPr>
      <w:r>
        <w:rPr>
          <w:b/>
          <w:bCs/>
          <w:color w:val="1F3864"/>
          <w:sz w:val="22"/>
          <w:szCs w:val="22"/>
        </w:rPr>
        <w:t xml:space="preserve">PERSONAL PROJECTS</w:t>
      </w:r>
    </w:p>
    <w:p>
      <w:pPr>
        <w:spacing w:after="30" w:before="90"/>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spacing w:after="30" w:before="90"/>
      </w:pPr>
      <w:r>
        <w:rPr>
          <w:b/>
          <w:bCs/>
          <w:color w:val="1F3864"/>
          <w:sz w:val="21"/>
          <w:szCs w:val="21"/>
        </w:rPr>
        <w:t xml:space="preserve">Personal Portfolio &amp; Visitor Telemetry</w:t>
      </w:r>
    </w:p>
    <w:p>
      <w:pPr>
        <w:spacing w:after="60"/>
      </w:pPr>
      <w:r>
        <w:rPr>
          <w:i/>
          <w:iCs/>
          <w:color w:val="555555"/>
          <w:sz w:val="19"/>
          <w:szCs w:val="19"/>
        </w:rPr>
        <w:t xml:space="preserve">Ongoing  |  Live: portfolio-datnt.pages.dev</w:t>
      </w:r>
    </w:p>
    <w:p>
      <w:pPr>
        <w:pStyle w:val="ListParagraph"/>
        <w:numPr>
          <w:ilvl w:val="0"/>
          <w:numId w:val="1"/>
        </w:numPr>
        <w:spacing w:after="4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4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 Vitest, tsc against workers-types, vue-tsc, then the build. Pull requests run the same gate without deploying, so a red build blocks the merge.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70" w:before="150"/>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