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data-integration</w:t>
      </w:r>
    </w:p>
    <w:p>
      <w:pPr>
        <w:jc w:val="center"/>
      </w:pPr>
      <w:r>
        <w:rPr>
          <w:rFonts w:ascii="微软雅黑" w:hAnsi="微软雅黑"/>
          <w:color w:val="505050"/>
          <w:sz w:val="48"/>
        </w:rPr>
        <w:t>Data Integration</w:t>
      </w:r>
    </w:p>
    <w:p/>
    <w:p/>
    <w:p>
      <w:pPr>
        <w:jc w:val="center"/>
      </w:pPr>
      <w:r>
        <w:rPr>
          <w:rFonts w:ascii="微软雅黑" w:hAnsi="微软雅黑"/>
          <w:color w:val="646464"/>
          <w:sz w:val="28"/>
        </w:rPr>
        <w:t>Palantir Foundry Data Integration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连接器</w:t>
      </w:r>
    </w:p>
    <w:p>
      <w:pPr>
        <w:spacing w:after="80"/>
      </w:pPr>
      <w:r>
        <w:rPr>
          <w:rFonts w:ascii="微软雅黑" w:hAnsi="微软雅黑"/>
          <w:sz w:val="22"/>
        </w:rPr>
        <w:t>数据连接与集成</w:t>
      </w:r>
    </w:p>
    <w:p>
      <w:pPr>
        <w:spacing w:after="80"/>
      </w:pPr>
      <w:r>
        <w:rPr>
          <w:rFonts w:ascii="微软雅黑" w:hAnsi="微软雅黑"/>
          <w:sz w:val="22"/>
        </w:rPr>
        <w:t>应用参考</w:t>
      </w:r>
    </w:p>
    <w:p>
      <w:pPr>
        <w:spacing w:after="80"/>
      </w:pPr>
      <w:r>
        <w:rPr>
          <w:rFonts w:ascii="微软雅黑" w:hAnsi="微软雅黑"/>
          <w:sz w:val="22"/>
        </w:rPr>
        <w:t>分支</w:t>
      </w:r>
    </w:p>
    <w:p>
      <w:pPr>
        <w:spacing w:after="80"/>
      </w:pPr>
      <w:r>
        <w:rPr>
          <w:rFonts w:ascii="微软雅黑" w:hAnsi="微软雅黑"/>
          <w:sz w:val="22"/>
        </w:rPr>
        <w:t>搭建</w:t>
      </w:r>
    </w:p>
    <w:p>
      <w:pPr>
        <w:spacing w:after="80"/>
      </w:pPr>
      <w:r>
        <w:rPr>
          <w:rFonts w:ascii="微软雅黑" w:hAnsi="微软雅黑"/>
          <w:sz w:val="22"/>
        </w:rPr>
        <w:t>变更数据捕获 (CDC)</w:t>
      </w:r>
    </w:p>
    <w:p>
      <w:pPr>
        <w:spacing w:after="80"/>
      </w:pPr>
      <w:r>
        <w:rPr>
          <w:rFonts w:ascii="微软雅黑" w:hAnsi="微软雅黑"/>
          <w:sz w:val="22"/>
        </w:rPr>
        <w:t>连接数据</w:t>
      </w:r>
    </w:p>
    <w:p>
      <w:pPr>
        <w:spacing w:after="80"/>
      </w:pPr>
      <w:r>
        <w:rPr>
          <w:rFonts w:ascii="微软雅黑" w:hAnsi="微软雅黑"/>
          <w:sz w:val="22"/>
        </w:rPr>
        <w:t>什么是数据管道？</w:t>
      </w:r>
    </w:p>
    <w:p>
      <w:pPr>
        <w:spacing w:after="80"/>
      </w:pPr>
      <w:r>
        <w:rPr>
          <w:rFonts w:ascii="微软雅黑" w:hAnsi="微软雅黑"/>
          <w:sz w:val="22"/>
        </w:rPr>
        <w:t>数据集</w:t>
      </w:r>
    </w:p>
    <w:p>
      <w:pPr>
        <w:spacing w:after="80"/>
      </w:pPr>
      <w:r>
        <w:rPr>
          <w:rFonts w:ascii="微软雅黑" w:hAnsi="微软雅黑"/>
          <w:sz w:val="22"/>
        </w:rPr>
        <w:t>外部函数</w:t>
      </w:r>
    </w:p>
    <w:p>
      <w:pPr>
        <w:spacing w:after="80"/>
      </w:pPr>
      <w:r>
        <w:rPr>
          <w:rFonts w:ascii="微软雅黑" w:hAnsi="微软雅黑"/>
          <w:sz w:val="22"/>
        </w:rPr>
        <w:t>基于源的外部变换</w:t>
      </w:r>
    </w:p>
    <w:p>
      <w:pPr>
        <w:spacing w:after="80"/>
      </w:pPr>
      <w:r>
        <w:rPr>
          <w:rFonts w:ascii="微软雅黑" w:hAnsi="微软雅黑"/>
          <w:sz w:val="22"/>
        </w:rPr>
        <w:t>外部变换</w:t>
      </w:r>
    </w:p>
    <w:p>
      <w:pPr>
        <w:spacing w:after="80"/>
      </w:pPr>
      <w:r>
        <w:rPr>
          <w:rFonts w:ascii="微软雅黑" w:hAnsi="微软雅黑"/>
          <w:sz w:val="22"/>
        </w:rPr>
        <w:t>Flink 基础</w:t>
      </w:r>
    </w:p>
    <w:p>
      <w:pPr>
        <w:spacing w:after="80"/>
      </w:pPr>
      <w:r>
        <w:rPr>
          <w:rFonts w:ascii="微软雅黑" w:hAnsi="微软雅黑"/>
          <w:sz w:val="22"/>
        </w:rPr>
        <w:t>Palantir 提供的 JDBC 源驱动程序</w:t>
      </w:r>
    </w:p>
    <w:p>
      <w:pPr>
        <w:spacing w:after="80"/>
      </w:pPr>
      <w:r>
        <w:rPr>
          <w:rFonts w:ascii="微软雅黑" w:hAnsi="微软雅黑"/>
          <w:sz w:val="22"/>
        </w:rPr>
        <w:t>用于Foundry数据集的S3兼容API</w:t>
      </w:r>
    </w:p>
    <w:p>
      <w:pPr>
        <w:spacing w:after="80"/>
      </w:pPr>
      <w:r>
        <w:rPr>
          <w:rFonts w:ascii="微软雅黑" w:hAnsi="微软雅黑"/>
          <w:sz w:val="22"/>
        </w:rPr>
        <w:t>健康检查</w:t>
      </w:r>
    </w:p>
    <w:p>
      <w:pPr>
        <w:spacing w:after="80"/>
      </w:pPr>
      <w:r>
        <w:rPr>
          <w:rFonts w:ascii="微软雅黑" w:hAnsi="微软雅黑"/>
          <w:sz w:val="22"/>
        </w:rPr>
        <w:t>媒体集（非结构化数据）</w:t>
      </w:r>
    </w:p>
    <w:p>
      <w:pPr>
        <w:spacing w:after="80"/>
      </w:pPr>
      <w:r>
        <w:rPr>
          <w:rFonts w:ascii="微软雅黑" w:hAnsi="微软雅黑"/>
          <w:sz w:val="22"/>
        </w:rPr>
        <w:t>重置流</w:t>
      </w:r>
    </w:p>
    <w:p>
      <w:pPr>
        <w:spacing w:after="80"/>
      </w:pPr>
      <w:r>
        <w:rPr>
          <w:rFonts w:ascii="微软雅黑" w:hAnsi="微软雅黑"/>
          <w:sz w:val="22"/>
        </w:rPr>
        <w:t>调度</w:t>
      </w:r>
    </w:p>
    <w:p>
      <w:pPr>
        <w:spacing w:after="80"/>
      </w:pPr>
      <w:r>
        <w:rPr>
          <w:rFonts w:ascii="微软雅黑" w:hAnsi="微软雅黑"/>
          <w:sz w:val="22"/>
        </w:rPr>
        <w:t>流监控</w:t>
      </w:r>
    </w:p>
    <w:p>
      <w:pPr>
        <w:spacing w:after="80"/>
      </w:pPr>
      <w:r>
        <w:rPr>
          <w:rFonts w:ascii="微软雅黑" w:hAnsi="微软雅黑"/>
          <w:sz w:val="22"/>
        </w:rPr>
        <w:t>流式资源指南</w:t>
      </w:r>
    </w:p>
    <w:p>
      <w:pPr>
        <w:spacing w:after="80"/>
      </w:pPr>
      <w:r>
        <w:rPr>
          <w:rFonts w:ascii="微软雅黑" w:hAnsi="微软雅黑"/>
          <w:sz w:val="22"/>
        </w:rPr>
        <w:t>流式配置文件</w:t>
      </w:r>
    </w:p>
    <w:p>
      <w:pPr>
        <w:spacing w:after="80"/>
      </w:pPr>
      <w:r>
        <w:rPr>
          <w:rFonts w:ascii="微软雅黑" w:hAnsi="微软雅黑"/>
          <w:sz w:val="22"/>
        </w:rPr>
        <w:t>流</w:t>
      </w:r>
    </w:p>
    <w:p>
      <w:pPr>
        <w:spacing w:after="80"/>
      </w:pPr>
      <w:r>
        <w:rPr>
          <w:rFonts w:ascii="微软雅黑" w:hAnsi="微软雅黑"/>
          <w:sz w:val="22"/>
        </w:rPr>
        <w:t>视图</w:t>
      </w:r>
    </w:p>
    <w:p>
      <w:pPr>
        <w:spacing w:after="80"/>
      </w:pPr>
      <w:r>
        <w:rPr>
          <w:rFonts w:ascii="微软雅黑" w:hAnsi="微软雅黑"/>
          <w:sz w:val="22"/>
        </w:rPr>
        <w:t>虚拟表</w:t>
      </w:r>
    </w:p>
    <w:p>
      <w:r>
        <w:br w:type="page"/>
      </w:r>
    </w:p>
    <w:p>
      <w:pPr>
        <w:pStyle w:val="Heading1"/>
      </w:pPr>
      <w:r>
        <w:rPr>
          <w:rFonts w:ascii="微软雅黑" w:hAnsi="微软雅黑"/>
        </w:rPr>
        <w:t>连接器</w:t>
      </w:r>
    </w:p>
    <w:p>
      <w:pPr>
        <w:spacing w:line="360" w:lineRule="auto" w:after="120"/>
      </w:pPr>
      <w:r>
        <w:rPr>
          <w:rFonts w:ascii="微软雅黑" w:hAnsi="微软雅黑"/>
          <w:sz w:val="21"/>
        </w:rPr>
        <w:t># 连接器</w:t>
      </w:r>
    </w:p>
    <w:p>
      <w:pPr>
        <w:spacing w:line="360" w:lineRule="auto" w:after="120"/>
      </w:pPr>
      <w:r>
        <w:rPr>
          <w:rFonts w:ascii="微软雅黑" w:hAnsi="微软雅黑"/>
          <w:color w:val="0066CC"/>
          <w:sz w:val="21"/>
          <w:u w:val="single"/>
        </w:rPr>
        <w:t>数据连接</w:t>
      </w:r>
      <w:r>
        <w:rPr>
          <w:rFonts w:ascii="微软雅黑" w:hAnsi="微软雅黑"/>
          <w:sz w:val="21"/>
        </w:rPr>
        <w:t>应用旨在提供Foundry和您的系统之间的连接。本页面概述了可用的连接器。</w:t>
      </w:r>
    </w:p>
    <w:p>
      <w:pPr>
        <w:pStyle w:val="Heading2"/>
      </w:pPr>
      <w:r>
        <w:rPr>
          <w:rFonts w:ascii="微软雅黑" w:hAnsi="微软雅黑"/>
        </w:rPr>
        <w:t>文件系统和Blob存储</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color w:val="0066CC"/>
          <w:sz w:val="21"/>
          <w:u w:val="single"/>
        </w:rPr>
        <w:t>Amazon S3</w:t>
      </w:r>
    </w:p>
    <w:p>
      <w:pPr>
        <w:pStyle w:val="ListBullet"/>
        <w:spacing w:line="360" w:lineRule="auto" w:after="120"/>
      </w:pPr>
      <w:r>
        <w:rPr>
          <w:rFonts w:ascii="微软雅黑" w:hAnsi="微软雅黑"/>
          <w:color w:val="0066CC"/>
          <w:sz w:val="21"/>
          <w:u w:val="single"/>
        </w:rPr>
        <w:t>Azure Blob Filesystem (ABFS)</w:t>
      </w:r>
    </w:p>
    <w:p>
      <w:pPr>
        <w:pStyle w:val="ListBullet"/>
        <w:spacing w:line="360" w:lineRule="auto" w:after="120"/>
      </w:pPr>
      <w:r>
        <w:rPr>
          <w:rFonts w:ascii="微软雅黑" w:hAnsi="微软雅黑"/>
          <w:color w:val="0066CC"/>
          <w:sz w:val="21"/>
          <w:u w:val="single"/>
        </w:rPr>
        <w:t>目录 (代理级文件系统)</w:t>
      </w:r>
    </w:p>
    <w:p>
      <w:pPr>
        <w:pStyle w:val="ListBullet"/>
        <w:spacing w:line="360" w:lineRule="auto" w:after="120"/>
      </w:pPr>
      <w:r>
        <w:rPr>
          <w:rFonts w:ascii="微软雅黑" w:hAnsi="微软雅黑"/>
          <w:color w:val="0066CC"/>
          <w:sz w:val="21"/>
          <w:u w:val="single"/>
        </w:rPr>
        <w:t>FTP/FTPS</w:t>
      </w:r>
    </w:p>
    <w:p>
      <w:pPr>
        <w:pStyle w:val="ListBullet"/>
        <w:spacing w:line="360" w:lineRule="auto" w:after="120"/>
      </w:pPr>
      <w:r>
        <w:rPr>
          <w:rFonts w:ascii="微软雅黑" w:hAnsi="微软雅黑"/>
          <w:color w:val="0066CC"/>
          <w:sz w:val="21"/>
          <w:u w:val="single"/>
        </w:rPr>
        <w:t>Google Cloud Storage</w:t>
      </w:r>
    </w:p>
    <w:p>
      <w:pPr>
        <w:pStyle w:val="ListBullet"/>
        <w:spacing w:line="360" w:lineRule="auto" w:after="120"/>
      </w:pPr>
      <w:r>
        <w:rPr>
          <w:rFonts w:ascii="微软雅黑" w:hAnsi="微软雅黑"/>
          <w:color w:val="0066CC"/>
          <w:sz w:val="21"/>
          <w:u w:val="single"/>
        </w:rPr>
        <w:t>HDFS</w:t>
      </w:r>
    </w:p>
    <w:p>
      <w:pPr>
        <w:pStyle w:val="ListBullet"/>
        <w:spacing w:line="360" w:lineRule="auto" w:after="120"/>
      </w:pPr>
      <w:r>
        <w:rPr>
          <w:rFonts w:ascii="微软雅黑" w:hAnsi="微软雅黑"/>
          <w:color w:val="0066CC"/>
          <w:sz w:val="21"/>
          <w:u w:val="single"/>
        </w:rPr>
        <w:t>服务器消息块 (SMB)</w:t>
      </w:r>
    </w:p>
    <w:p>
      <w:pPr>
        <w:pStyle w:val="ListBullet"/>
        <w:spacing w:line="360" w:lineRule="auto" w:after="120"/>
      </w:pPr>
      <w:r>
        <w:rPr>
          <w:rFonts w:ascii="微软雅黑" w:hAnsi="微软雅黑"/>
          <w:color w:val="0066CC"/>
          <w:sz w:val="21"/>
          <w:u w:val="single"/>
        </w:rPr>
        <w:t>SFTP</w:t>
      </w:r>
    </w:p>
    <w:p>
      <w:pPr>
        <w:pStyle w:val="ListBullet"/>
        <w:spacing w:line="360" w:lineRule="auto" w:after="120"/>
      </w:pPr>
      <w:r>
        <w:rPr>
          <w:rFonts w:ascii="微软雅黑" w:hAnsi="微软雅黑"/>
          <w:color w:val="0066CC"/>
          <w:sz w:val="21"/>
          <w:u w:val="single"/>
        </w:rPr>
        <w:t>SharePoint Online</w:t>
      </w:r>
    </w:p>
    <w:p>
      <w:pPr>
        <w:pStyle w:val="Heading2"/>
      </w:pPr>
      <w:r>
        <w:rPr>
          <w:rFonts w:ascii="微软雅黑" w:hAnsi="微软雅黑"/>
        </w:rPr>
        <w:t>[JDBC来源](/zh/foundry/available-connectors/custom-jdbc-sources/)</w:t>
      </w:r>
    </w:p>
    <w:p>
      <w:pPr>
        <w:pStyle w:val="Heading3"/>
      </w:pPr>
      <w:r>
        <w:rPr>
          <w:rFonts w:ascii="微软雅黑" w:hAnsi="微软雅黑"/>
        </w:rPr>
        <w:t>数据库</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sz w:val="21"/>
        </w:rPr>
        <w:t>Amazon Athena</w:t>
      </w:r>
    </w:p>
    <w:p>
      <w:pPr>
        <w:pStyle w:val="ListBullet"/>
        <w:spacing w:line="360" w:lineRule="auto" w:after="120"/>
      </w:pPr>
      <w:r>
        <w:rPr>
          <w:rFonts w:ascii="微软雅黑" w:hAnsi="微软雅黑"/>
          <w:sz w:val="21"/>
        </w:rPr>
        <w:t>Hive</w:t>
      </w:r>
    </w:p>
    <w:p>
      <w:pPr>
        <w:pStyle w:val="ListBullet"/>
        <w:spacing w:line="360" w:lineRule="auto" w:after="120"/>
      </w:pPr>
      <w:r>
        <w:rPr>
          <w:rFonts w:ascii="微软雅黑" w:hAnsi="微软雅黑"/>
          <w:sz w:val="21"/>
        </w:rPr>
        <w:t>IBM DB2</w:t>
      </w:r>
    </w:p>
    <w:p>
      <w:pPr>
        <w:pStyle w:val="ListBullet"/>
        <w:spacing w:line="360" w:lineRule="auto" w:after="120"/>
      </w:pPr>
      <w:r>
        <w:rPr>
          <w:rFonts w:ascii="微软雅黑" w:hAnsi="微软雅黑"/>
          <w:sz w:val="21"/>
        </w:rPr>
        <w:t>Informix</w:t>
      </w:r>
    </w:p>
    <w:p>
      <w:pPr>
        <w:pStyle w:val="ListBullet"/>
        <w:spacing w:line="360" w:lineRule="auto" w:after="120"/>
      </w:pPr>
      <w:r>
        <w:rPr>
          <w:rFonts w:ascii="微软雅黑" w:hAnsi="微软雅黑"/>
          <w:sz w:val="21"/>
        </w:rPr>
        <w:t>MariaDB</w:t>
      </w:r>
    </w:p>
    <w:p>
      <w:pPr>
        <w:pStyle w:val="ListBullet"/>
        <w:spacing w:line="360" w:lineRule="auto" w:after="120"/>
      </w:pPr>
      <w:r>
        <w:rPr>
          <w:rFonts w:ascii="微软雅黑" w:hAnsi="微软雅黑"/>
          <w:color w:val="0066CC"/>
          <w:sz w:val="21"/>
          <w:u w:val="single"/>
        </w:rPr>
        <w:t>Microsoft SQL Server</w:t>
      </w:r>
    </w:p>
    <w:p>
      <w:pPr>
        <w:pStyle w:val="ListBullet"/>
        <w:spacing w:line="360" w:lineRule="auto" w:after="120"/>
      </w:pPr>
      <w:r>
        <w:rPr>
          <w:rFonts w:ascii="微软雅黑" w:hAnsi="微软雅黑"/>
          <w:sz w:val="21"/>
        </w:rPr>
        <w:t>MySQL</w:t>
      </w:r>
    </w:p>
    <w:p>
      <w:pPr>
        <w:pStyle w:val="ListBullet"/>
        <w:spacing w:line="360" w:lineRule="auto" w:after="120"/>
      </w:pPr>
      <w:r>
        <w:rPr>
          <w:rFonts w:ascii="微软雅黑" w:hAnsi="微软雅黑"/>
          <w:sz w:val="21"/>
        </w:rPr>
        <w:t>Oracle数据库</w:t>
      </w:r>
    </w:p>
    <w:p>
      <w:pPr>
        <w:pStyle w:val="ListBullet"/>
        <w:spacing w:line="360" w:lineRule="auto" w:after="120"/>
      </w:pPr>
      <w:r>
        <w:rPr>
          <w:rFonts w:ascii="微软雅黑" w:hAnsi="微软雅黑"/>
          <w:color w:val="0066CC"/>
          <w:sz w:val="21"/>
          <w:u w:val="single"/>
        </w:rPr>
        <w:t>PostgreSQL</w:t>
      </w:r>
    </w:p>
    <w:p>
      <w:pPr>
        <w:pStyle w:val="ListBullet"/>
        <w:spacing w:line="360" w:lineRule="auto" w:after="120"/>
      </w:pPr>
      <w:r>
        <w:rPr>
          <w:rFonts w:ascii="微软雅黑" w:hAnsi="微软雅黑"/>
          <w:sz w:val="21"/>
        </w:rPr>
        <w:t>SQLite</w:t>
      </w:r>
    </w:p>
    <w:p>
      <w:pPr>
        <w:pStyle w:val="ListBullet"/>
        <w:spacing w:line="360" w:lineRule="auto" w:after="120"/>
      </w:pPr>
      <w:r>
        <w:rPr>
          <w:rFonts w:ascii="微软雅黑" w:hAnsi="微软雅黑"/>
          <w:sz w:val="21"/>
        </w:rPr>
        <w:t>Sybase</w:t>
      </w:r>
    </w:p>
    <w:p>
      <w:pPr>
        <w:pStyle w:val="ListBullet"/>
        <w:spacing w:line="360" w:lineRule="auto" w:after="120"/>
      </w:pPr>
      <w:r>
        <w:rPr>
          <w:rFonts w:ascii="微软雅黑" w:hAnsi="微软雅黑"/>
          <w:sz w:val="21"/>
        </w:rPr>
        <w:t>Vertica</w:t>
      </w:r>
    </w:p>
    <w:p>
      <w:pPr>
        <w:pStyle w:val="Heading3"/>
      </w:pPr>
      <w:r>
        <w:rPr>
          <w:rFonts w:ascii="微软雅黑" w:hAnsi="微软雅黑"/>
        </w:rPr>
        <w:t>数据仓库</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sz w:val="21"/>
        </w:rPr>
        <w:t>AWS Redshift</w:t>
      </w:r>
    </w:p>
    <w:p>
      <w:pPr>
        <w:pStyle w:val="ListBullet"/>
        <w:spacing w:line="360" w:lineRule="auto" w:after="120"/>
      </w:pPr>
      <w:r>
        <w:rPr>
          <w:rFonts w:ascii="微软雅黑" w:hAnsi="微软雅黑"/>
          <w:sz w:val="21"/>
        </w:rPr>
        <w:t>Azure Synapse</w:t>
      </w:r>
    </w:p>
    <w:p>
      <w:pPr>
        <w:pStyle w:val="ListBullet"/>
        <w:spacing w:line="360" w:lineRule="auto" w:after="120"/>
      </w:pPr>
      <w:r>
        <w:rPr>
          <w:rFonts w:ascii="微软雅黑" w:hAnsi="微软雅黑"/>
          <w:color w:val="0066CC"/>
          <w:sz w:val="21"/>
          <w:u w:val="single"/>
        </w:rPr>
        <w:t>BigQuery</w:t>
      </w:r>
    </w:p>
    <w:p>
      <w:pPr>
        <w:pStyle w:val="ListBullet"/>
        <w:spacing w:line="360" w:lineRule="auto" w:after="120"/>
      </w:pPr>
      <w:r>
        <w:rPr>
          <w:rFonts w:ascii="微软雅黑" w:hAnsi="微软雅黑"/>
          <w:color w:val="0066CC"/>
          <w:sz w:val="21"/>
          <w:u w:val="single"/>
        </w:rPr>
        <w:t>Databricks</w:t>
      </w:r>
    </w:p>
    <w:p>
      <w:pPr>
        <w:pStyle w:val="ListBullet"/>
        <w:spacing w:line="360" w:lineRule="auto" w:after="120"/>
      </w:pPr>
      <w:r>
        <w:rPr>
          <w:rFonts w:ascii="微软雅黑" w:hAnsi="微软雅黑"/>
          <w:sz w:val="21"/>
        </w:rPr>
        <w:t>Netezza</w:t>
      </w:r>
    </w:p>
    <w:p>
      <w:pPr>
        <w:pStyle w:val="ListBullet"/>
        <w:spacing w:line="360" w:lineRule="auto" w:after="120"/>
      </w:pPr>
      <w:r>
        <w:rPr>
          <w:rFonts w:ascii="微软雅黑" w:hAnsi="微软雅黑"/>
          <w:color w:val="0066CC"/>
          <w:sz w:val="21"/>
          <w:u w:val="single"/>
        </w:rPr>
        <w:t>Snowflake</w:t>
      </w:r>
    </w:p>
    <w:p>
      <w:pPr>
        <w:pStyle w:val="ListBullet"/>
        <w:spacing w:line="360" w:lineRule="auto" w:after="120"/>
      </w:pPr>
      <w:r>
        <w:rPr>
          <w:rFonts w:ascii="微软雅黑" w:hAnsi="微软雅黑"/>
          <w:sz w:val="21"/>
        </w:rPr>
        <w:t>Teradata</w:t>
      </w:r>
    </w:p>
    <w:p>
      <w:pPr>
        <w:pStyle w:val="Heading3"/>
      </w:pPr>
      <w:r>
        <w:rPr>
          <w:rFonts w:ascii="微软雅黑" w:hAnsi="微软雅黑"/>
        </w:rPr>
        <w:t>ERP和CRM</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color w:val="0066CC"/>
          <w:sz w:val="21"/>
          <w:u w:val="single"/>
        </w:rPr>
        <w:t>SAP</w:t>
      </w:r>
    </w:p>
    <w:p>
      <w:pPr>
        <w:pStyle w:val="ListBullet"/>
        <w:spacing w:line="360" w:lineRule="auto" w:after="120"/>
      </w:pPr>
      <w:r>
        <w:rPr>
          <w:rFonts w:ascii="微软雅黑" w:hAnsi="微软雅黑"/>
          <w:color w:val="0066CC"/>
          <w:sz w:val="21"/>
          <w:u w:val="single"/>
        </w:rPr>
        <w:t>Salesforce</w:t>
      </w:r>
    </w:p>
    <w:p>
      <w:pPr>
        <w:pStyle w:val="ListBullet"/>
        <w:spacing w:line="360" w:lineRule="auto" w:after="120"/>
      </w:pPr>
      <w:r>
        <w:rPr>
          <w:rFonts w:ascii="微软雅黑" w:hAnsi="微软雅黑"/>
          <w:color w:val="0066CC"/>
          <w:sz w:val="21"/>
          <w:u w:val="single"/>
        </w:rPr>
        <w:t>Oracle NetSuite</w:t>
      </w:r>
    </w:p>
    <w:p>
      <w:pPr>
        <w:pStyle w:val="ListBullet"/>
        <w:spacing w:line="360" w:lineRule="auto" w:after="120"/>
      </w:pPr>
      <w:r>
        <w:rPr>
          <w:rFonts w:ascii="微软雅黑" w:hAnsi="微软雅黑"/>
          <w:color w:val="0066CC"/>
          <w:sz w:val="21"/>
          <w:u w:val="single"/>
        </w:rPr>
        <w:t>HubSpot</w:t>
      </w:r>
    </w:p>
    <w:p>
      <w:pPr>
        <w:pStyle w:val="Heading2"/>
      </w:pPr>
      <w:r>
        <w:rPr>
          <w:rFonts w:ascii="微软雅黑" w:hAnsi="微软雅黑"/>
        </w:rPr>
        <w:t>[流式来源](/zh/foundry/data-integration/streaming-guide/)</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color w:val="0066CC"/>
          <w:sz w:val="21"/>
          <w:u w:val="single"/>
        </w:rPr>
        <w:t>Apache Kafka</w:t>
      </w:r>
    </w:p>
    <w:p>
      <w:pPr>
        <w:pStyle w:val="ListBullet"/>
        <w:spacing w:line="360" w:lineRule="auto" w:after="120"/>
      </w:pPr>
      <w:r>
        <w:rPr>
          <w:rFonts w:ascii="微软雅黑" w:hAnsi="微软雅黑"/>
          <w:sz w:val="21"/>
        </w:rPr>
        <w:t>ActiveMQ</w:t>
      </w:r>
    </w:p>
    <w:p>
      <w:pPr>
        <w:pStyle w:val="ListBullet"/>
        <w:spacing w:line="360" w:lineRule="auto" w:after="120"/>
      </w:pPr>
      <w:r>
        <w:rPr>
          <w:rFonts w:ascii="微软雅黑" w:hAnsi="微软雅黑"/>
          <w:color w:val="0066CC"/>
          <w:sz w:val="21"/>
          <w:u w:val="single"/>
        </w:rPr>
        <w:t>Amazon Kinesis</w:t>
      </w:r>
    </w:p>
    <w:p>
      <w:pPr>
        <w:pStyle w:val="ListBullet"/>
        <w:spacing w:line="360" w:lineRule="auto" w:after="120"/>
      </w:pPr>
      <w:r>
        <w:rPr>
          <w:rFonts w:ascii="微软雅黑" w:hAnsi="微软雅黑"/>
          <w:sz w:val="21"/>
        </w:rPr>
        <w:t>Amazon SNS</w:t>
      </w:r>
    </w:p>
    <w:p>
      <w:pPr>
        <w:pStyle w:val="ListBullet"/>
        <w:spacing w:line="360" w:lineRule="auto" w:after="120"/>
      </w:pPr>
      <w:r>
        <w:rPr>
          <w:rFonts w:ascii="微软雅黑" w:hAnsi="微软雅黑"/>
          <w:sz w:val="21"/>
        </w:rPr>
        <w:t>Amazon SQS</w:t>
      </w:r>
    </w:p>
    <w:p>
      <w:pPr>
        <w:pStyle w:val="ListBullet"/>
        <w:spacing w:line="360" w:lineRule="auto" w:after="120"/>
      </w:pPr>
      <w:r>
        <w:rPr>
          <w:rFonts w:ascii="微软雅黑" w:hAnsi="微软雅黑"/>
          <w:sz w:val="21"/>
        </w:rPr>
        <w:t>Google Pub/Sub</w:t>
      </w:r>
    </w:p>
    <w:p>
      <w:pPr>
        <w:pStyle w:val="ListBullet"/>
        <w:spacing w:line="360" w:lineRule="auto" w:after="120"/>
      </w:pPr>
      <w:r>
        <w:rPr>
          <w:rFonts w:ascii="微软雅黑" w:hAnsi="微软雅黑"/>
          <w:sz w:val="21"/>
        </w:rPr>
        <w:t>MQTT</w:t>
      </w:r>
    </w:p>
    <w:p>
      <w:pPr>
        <w:pStyle w:val="ListBullet"/>
        <w:spacing w:line="360" w:lineRule="auto" w:after="120"/>
      </w:pPr>
      <w:r>
        <w:rPr>
          <w:rFonts w:ascii="微软雅黑" w:hAnsi="微软雅黑"/>
          <w:sz w:val="21"/>
        </w:rPr>
        <w:t>RabbitMQ</w:t>
      </w:r>
    </w:p>
    <w:p>
      <w:pPr>
        <w:pStyle w:val="ListBullet"/>
        <w:spacing w:line="360" w:lineRule="auto" w:after="120"/>
      </w:pPr>
      <w:r>
        <w:rPr>
          <w:rFonts w:ascii="微软雅黑" w:hAnsi="微软雅黑"/>
          <w:sz w:val="21"/>
        </w:rPr>
        <w:t>Solace</w:t>
      </w:r>
    </w:p>
    <w:p>
      <w:pPr>
        <w:pStyle w:val="Heading2"/>
      </w:pPr>
      <w:r>
        <w:rPr>
          <w:rFonts w:ascii="微软雅黑" w:hAnsi="微软雅黑"/>
        </w:rPr>
        <w:t>[NoSQL存储](/zh/foundry/available-connectors/nosql-stores/)</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sz w:val="21"/>
        </w:rPr>
        <w:t>Amazon DynamoDB</w:t>
      </w:r>
    </w:p>
    <w:p>
      <w:pPr>
        <w:pStyle w:val="ListBullet"/>
        <w:spacing w:line="360" w:lineRule="auto" w:after="120"/>
      </w:pPr>
      <w:r>
        <w:rPr>
          <w:rFonts w:ascii="微软雅黑" w:hAnsi="微软雅黑"/>
          <w:sz w:val="21"/>
        </w:rPr>
        <w:t>Apache HBase</w:t>
      </w:r>
    </w:p>
    <w:p>
      <w:pPr>
        <w:pStyle w:val="ListBullet"/>
        <w:spacing w:line="360" w:lineRule="auto" w:after="120"/>
      </w:pPr>
      <w:r>
        <w:rPr>
          <w:rFonts w:ascii="微软雅黑" w:hAnsi="微软雅黑"/>
          <w:sz w:val="21"/>
        </w:rPr>
        <w:t>Azure Cosmos DB</w:t>
      </w:r>
    </w:p>
    <w:p>
      <w:pPr>
        <w:pStyle w:val="ListBullet"/>
        <w:spacing w:line="360" w:lineRule="auto" w:after="120"/>
      </w:pPr>
      <w:r>
        <w:rPr>
          <w:rFonts w:ascii="微软雅黑" w:hAnsi="微软雅黑"/>
          <w:sz w:val="21"/>
        </w:rPr>
        <w:t>Cassandra</w:t>
      </w:r>
    </w:p>
    <w:p>
      <w:pPr>
        <w:pStyle w:val="ListBullet"/>
        <w:spacing w:line="360" w:lineRule="auto" w:after="120"/>
      </w:pPr>
      <w:r>
        <w:rPr>
          <w:rFonts w:ascii="微软雅黑" w:hAnsi="微软雅黑"/>
          <w:sz w:val="21"/>
        </w:rPr>
        <w:t>Cockroach DB</w:t>
      </w:r>
    </w:p>
    <w:p>
      <w:pPr>
        <w:pStyle w:val="ListBullet"/>
        <w:spacing w:line="360" w:lineRule="auto" w:after="120"/>
      </w:pPr>
      <w:r>
        <w:rPr>
          <w:rFonts w:ascii="微软雅黑" w:hAnsi="微软雅黑"/>
          <w:sz w:val="21"/>
        </w:rPr>
        <w:t>CouchDB</w:t>
      </w:r>
    </w:p>
    <w:p>
      <w:pPr>
        <w:pStyle w:val="ListBullet"/>
        <w:spacing w:line="360" w:lineRule="auto" w:after="120"/>
      </w:pPr>
      <w:r>
        <w:rPr>
          <w:rFonts w:ascii="微软雅黑" w:hAnsi="微软雅黑"/>
          <w:sz w:val="21"/>
        </w:rPr>
        <w:t>Elasticsearch</w:t>
      </w:r>
    </w:p>
    <w:p>
      <w:pPr>
        <w:pStyle w:val="ListBullet"/>
        <w:spacing w:line="360" w:lineRule="auto" w:after="120"/>
      </w:pPr>
      <w:r>
        <w:rPr>
          <w:rFonts w:ascii="微软雅黑" w:hAnsi="微软雅黑"/>
          <w:sz w:val="21"/>
        </w:rPr>
        <w:t>InfluxDB</w:t>
      </w:r>
    </w:p>
    <w:p>
      <w:pPr>
        <w:pStyle w:val="ListBullet"/>
        <w:spacing w:line="360" w:lineRule="auto" w:after="120"/>
      </w:pPr>
      <w:r>
        <w:rPr>
          <w:rFonts w:ascii="微软雅黑" w:hAnsi="微软雅黑"/>
          <w:sz w:val="21"/>
        </w:rPr>
        <w:t>MarkLogic</w:t>
      </w:r>
    </w:p>
    <w:p>
      <w:pPr>
        <w:pStyle w:val="ListBullet"/>
        <w:spacing w:line="360" w:lineRule="auto" w:after="120"/>
      </w:pPr>
      <w:r>
        <w:rPr>
          <w:rFonts w:ascii="微软雅黑" w:hAnsi="微软雅黑"/>
          <w:sz w:val="21"/>
        </w:rPr>
        <w:t>MongoDB</w:t>
      </w:r>
    </w:p>
    <w:p>
      <w:pPr>
        <w:pStyle w:val="ListBullet"/>
        <w:spacing w:line="360" w:lineRule="auto" w:after="120"/>
      </w:pPr>
      <w:r>
        <w:rPr>
          <w:rFonts w:ascii="微软雅黑" w:hAnsi="微软雅黑"/>
          <w:sz w:val="21"/>
        </w:rPr>
        <w:t>Neo4j</w:t>
      </w:r>
    </w:p>
    <w:p>
      <w:pPr>
        <w:pStyle w:val="ListBullet"/>
        <w:spacing w:line="360" w:lineRule="auto" w:after="120"/>
      </w:pPr>
      <w:r>
        <w:rPr>
          <w:rFonts w:ascii="微软雅黑" w:hAnsi="微软雅黑"/>
          <w:sz w:val="21"/>
        </w:rPr>
        <w:t>OrientDB</w:t>
      </w:r>
    </w:p>
    <w:p>
      <w:pPr>
        <w:pStyle w:val="ListBullet"/>
        <w:spacing w:line="360" w:lineRule="auto" w:after="120"/>
      </w:pPr>
      <w:r>
        <w:rPr>
          <w:rFonts w:ascii="微软雅黑" w:hAnsi="微软雅黑"/>
          <w:sz w:val="21"/>
        </w:rPr>
        <w:t>Redis</w:t>
      </w:r>
    </w:p>
    <w:p>
      <w:pPr>
        <w:pStyle w:val="Heading2"/>
      </w:pPr>
      <w:r>
        <w:rPr>
          <w:rFonts w:ascii="微软雅黑" w:hAnsi="微软雅黑"/>
        </w:rPr>
        <w:t>[REST API](/zh/foundry/available-connectors/rest-apis/)</w:t>
      </w:r>
    </w:p>
    <w:p>
      <w:pPr>
        <w:pStyle w:val="Heading2"/>
      </w:pPr>
      <w:r>
        <w:rPr>
          <w:rFonts w:ascii="微软雅黑" w:hAnsi="微软雅黑"/>
        </w:rPr>
        <w:t>[其他来源类型](/zh/foundry/available-connectors/other-source-types/)</w:t>
      </w:r>
    </w:p>
    <w:p>
      <w:pPr>
        <w:pStyle w:val="Heading3"/>
      </w:pPr>
      <w:r>
        <w:rPr>
          <w:rFonts w:ascii="微软雅黑" w:hAnsi="微软雅黑"/>
        </w:rPr>
        <w:t>IOT / IIOT</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sz w:val="21"/>
        </w:rPr>
        <w:t>Amazon IoT Core</w:t>
      </w:r>
    </w:p>
    <w:p>
      <w:pPr>
        <w:pStyle w:val="ListBullet"/>
        <w:spacing w:line="360" w:lineRule="auto" w:after="120"/>
      </w:pPr>
      <w:r>
        <w:rPr>
          <w:rFonts w:ascii="微软雅黑" w:hAnsi="微软雅黑"/>
          <w:sz w:val="21"/>
        </w:rPr>
        <w:t>Azure Event Hub</w:t>
      </w:r>
    </w:p>
    <w:p>
      <w:pPr>
        <w:pStyle w:val="ListBullet"/>
        <w:spacing w:line="360" w:lineRule="auto" w:after="120"/>
      </w:pPr>
      <w:r>
        <w:rPr>
          <w:rFonts w:ascii="微软雅黑" w:hAnsi="微软雅黑"/>
          <w:sz w:val="21"/>
        </w:rPr>
        <w:t>Google IoT Core</w:t>
      </w:r>
    </w:p>
    <w:p>
      <w:pPr>
        <w:pStyle w:val="ListBullet"/>
        <w:spacing w:line="360" w:lineRule="auto" w:after="120"/>
      </w:pPr>
      <w:r>
        <w:rPr>
          <w:rFonts w:ascii="微软雅黑" w:hAnsi="微软雅黑"/>
          <w:sz w:val="21"/>
        </w:rPr>
        <w:t>OPC-UA</w:t>
      </w:r>
    </w:p>
    <w:p>
      <w:pPr>
        <w:pStyle w:val="ListBullet"/>
        <w:spacing w:line="360" w:lineRule="auto" w:after="120"/>
      </w:pPr>
      <w:r>
        <w:rPr>
          <w:rFonts w:ascii="微软雅黑" w:hAnsi="微软雅黑"/>
          <w:sz w:val="21"/>
        </w:rPr>
        <w:t>OSI PI</w:t>
      </w:r>
    </w:p>
    <w:p>
      <w:pPr>
        <w:pStyle w:val="Heading3"/>
      </w:pPr>
      <w:r>
        <w:rPr>
          <w:rFonts w:ascii="微软雅黑" w:hAnsi="微软雅黑"/>
        </w:rPr>
        <w:t>地理空间系统</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sz w:val="21"/>
        </w:rPr>
        <w:t>ESRI / ArcGIS</w:t>
      </w:r>
    </w:p>
    <w:p>
      <w:pPr>
        <w:pStyle w:val="ListBullet"/>
        <w:spacing w:line="360" w:lineRule="auto" w:after="120"/>
      </w:pPr>
      <w:r>
        <w:rPr>
          <w:rFonts w:ascii="微软雅黑" w:hAnsi="微软雅黑"/>
          <w:sz w:val="21"/>
        </w:rPr>
        <w:t>PostGIS</w:t>
      </w:r>
    </w:p>
    <w:p>
      <w:pPr>
        <w:pStyle w:val="ListBullet"/>
        <w:spacing w:line="360" w:lineRule="auto" w:after="120"/>
      </w:pPr>
      <w:r>
        <w:rPr>
          <w:rFonts w:ascii="微软雅黑" w:hAnsi="微软雅黑"/>
          <w:sz w:val="21"/>
        </w:rPr>
        <w:t>Oracle Spatial DBs</w:t>
      </w:r>
    </w:p>
    <w:p>
      <w:pPr>
        <w:pStyle w:val="Heading3"/>
      </w:pPr>
      <w:r>
        <w:rPr>
          <w:rFonts w:ascii="微软雅黑" w:hAnsi="微软雅黑"/>
        </w:rPr>
        <w:t>生产力工具</w:t>
      </w:r>
    </w:p>
    <w:p>
      <w:pPr>
        <w:spacing w:line="360" w:lineRule="auto" w:after="120"/>
      </w:pPr>
      <w:r>
        <w:rPr>
          <w:rFonts w:ascii="微软雅黑" w:hAnsi="微软雅黑"/>
          <w:sz w:val="21"/>
        </w:rPr>
        <w:t>包括：</w:t>
      </w:r>
    </w:p>
    <w:p>
      <w:pPr>
        <w:pStyle w:val="ListBullet"/>
        <w:spacing w:line="360" w:lineRule="auto" w:after="120"/>
      </w:pPr>
      <w:r>
        <w:rPr>
          <w:rFonts w:ascii="微软雅黑" w:hAnsi="微软雅黑"/>
          <w:sz w:val="21"/>
        </w:rPr>
        <w:t>Artifactory</w:t>
      </w:r>
    </w:p>
    <w:p>
      <w:pPr>
        <w:pStyle w:val="ListBullet"/>
        <w:spacing w:line="360" w:lineRule="auto" w:after="120"/>
      </w:pPr>
      <w:r>
        <w:rPr>
          <w:rFonts w:ascii="微软雅黑" w:hAnsi="微软雅黑"/>
          <w:color w:val="0066CC"/>
          <w:sz w:val="21"/>
          <w:u w:val="single"/>
        </w:rPr>
        <w:t>Asana</w:t>
      </w:r>
    </w:p>
    <w:p>
      <w:pPr>
        <w:pStyle w:val="ListBullet"/>
        <w:spacing w:line="360" w:lineRule="auto" w:after="120"/>
      </w:pPr>
      <w:r>
        <w:rPr>
          <w:rFonts w:ascii="微软雅黑" w:hAnsi="微软雅黑"/>
          <w:sz w:val="21"/>
        </w:rPr>
        <w:t>GitHub</w:t>
      </w:r>
    </w:p>
    <w:p>
      <w:pPr>
        <w:pStyle w:val="ListBullet"/>
        <w:spacing w:line="360" w:lineRule="auto" w:after="120"/>
      </w:pPr>
      <w:r>
        <w:rPr>
          <w:rFonts w:ascii="微软雅黑" w:hAnsi="微软雅黑"/>
          <w:sz w:val="21"/>
        </w:rPr>
        <w:t>JIRA</w:t>
      </w:r>
    </w:p>
    <w:p>
      <w:pPr>
        <w:pStyle w:val="ListBullet"/>
        <w:spacing w:line="360" w:lineRule="auto" w:after="120"/>
      </w:pPr>
      <w:r>
        <w:rPr>
          <w:rFonts w:ascii="微软雅黑" w:hAnsi="微软雅黑"/>
          <w:sz w:val="21"/>
        </w:rPr>
        <w:t>PagerDuty</w:t>
      </w:r>
    </w:p>
    <w:p>
      <w:pPr>
        <w:pStyle w:val="ListBullet"/>
        <w:spacing w:line="360" w:lineRule="auto" w:after="120"/>
      </w:pPr>
      <w:r>
        <w:rPr>
          <w:rFonts w:ascii="微软雅黑" w:hAnsi="微软雅黑"/>
          <w:sz w:val="21"/>
        </w:rPr>
        <w:t>ServiceNOW</w:t>
      </w:r>
    </w:p>
    <w:p>
      <w:pPr>
        <w:pStyle w:val="ListBullet"/>
        <w:spacing w:line="360" w:lineRule="auto" w:after="120"/>
      </w:pPr>
      <w:r>
        <w:rPr>
          <w:rFonts w:ascii="微软雅黑" w:hAnsi="微软雅黑"/>
          <w:color w:val="0066CC"/>
          <w:sz w:val="21"/>
          <w:u w:val="single"/>
        </w:rPr>
        <w:t>Slack</w:t>
      </w:r>
    </w:p>
    <w:p>
      <w:r>
        <w:br w:type="page"/>
      </w:r>
    </w:p>
    <w:p>
      <w:pPr>
        <w:pStyle w:val="Heading1"/>
      </w:pPr>
      <w:r>
        <w:rPr>
          <w:rFonts w:ascii="微软雅黑" w:hAnsi="微软雅黑"/>
        </w:rPr>
        <w:t>数据连接与集成</w:t>
      </w:r>
    </w:p>
    <w:p>
      <w:pPr>
        <w:spacing w:after="40"/>
        <w:jc w:val="center"/>
      </w:pPr>
      <w:r>
        <w:rPr>
          <w:i/>
          <w:color w:val="646464"/>
          <w:sz w:val="18"/>
        </w:rPr>
        <w:t>图：数据集成概述</w:t>
      </w:r>
    </w:p>
    <w:p>
      <w:r>
        <w:rPr>
          <w:color w:val="FF0000"/>
          <w:sz w:val="18"/>
        </w:rPr>
        <w:t>[图片加载失败：数据集成概述]</w:t>
      </w:r>
    </w:p>
    <w:p>
      <w:pPr>
        <w:spacing w:line="360" w:lineRule="auto" w:after="120"/>
      </w:pPr>
      <w:r>
        <w:rPr>
          <w:rFonts w:ascii="微软雅黑" w:hAnsi="微软雅黑"/>
          <w:sz w:val="21"/>
        </w:rPr>
        <w:t># 数据连接与集成</w:t>
      </w:r>
    </w:p>
    <w:p>
      <w:pPr>
        <w:spacing w:line="360" w:lineRule="auto" w:after="120"/>
      </w:pPr>
      <w:r>
        <w:rPr>
          <w:rFonts w:ascii="微软雅黑" w:hAnsi="微软雅黑"/>
          <w:sz w:val="21"/>
        </w:rPr>
        <w:t>Foundry提供了一套高度可配置的数据连接和集成工具，远远超出了典型的提取-变换-加载（ETL）或提取-加载-变换（ELT）解决方案。Foundry旨在通过丰富的功能套件来降低数据集成的长期成本，这些功能作为数据团队的力量倍增器。虽然普通云服务为基本管道和实验提供存储和计算，但要管理、交付和验证关键操作的数据集，还需要许多额外的功能层。Foundry旨在成为世界上最复杂环境的数据集成骨干。</w:t>
      </w:r>
    </w:p>
    <w:p>
      <w:pPr>
        <w:pStyle w:val="Heading2"/>
      </w:pPr>
      <w:r>
        <w:rPr>
          <w:rFonts w:ascii="微软雅黑" w:hAnsi="微软雅黑"/>
        </w:rPr>
        <w:t>连接数据</w:t>
      </w:r>
    </w:p>
    <w:p>
      <w:pPr>
        <w:spacing w:line="360" w:lineRule="auto" w:after="120"/>
      </w:pPr>
      <w:r>
        <w:rPr>
          <w:rFonts w:ascii="微软雅黑" w:hAnsi="微软雅黑"/>
          <w:sz w:val="21"/>
        </w:rPr>
        <w:t>这始于一个可扩展的数据连接框架，该框架建立与各种类型源系统的连接——无论是结构化、非结构化还是半结构化——以及所有关键的数据传输方法，例如批处理、微批处理或流处理。此功能与平台的数据变换和数据管理功能集成，其中包括完整的数据版本沿袭、协作管理数据提取的细粒度安全性，以及数据同步配置的分支。</w:t>
      </w:r>
    </w:p>
    <w:p>
      <w:pPr>
        <w:spacing w:line="360" w:lineRule="auto" w:after="120"/>
      </w:pPr>
      <w:r>
        <w:rPr>
          <w:rFonts w:ascii="微软雅黑" w:hAnsi="微软雅黑"/>
          <w:color w:val="0066CC"/>
          <w:sz w:val="21"/>
          <w:u w:val="single"/>
        </w:rPr>
        <w:t>了解更多关于在Foundry中连接数据的信息。</w:t>
      </w:r>
    </w:p>
    <w:p>
      <w:pPr>
        <w:pStyle w:val="Heading2"/>
      </w:pPr>
      <w:r>
        <w:rPr>
          <w:rFonts w:ascii="微软雅黑" w:hAnsi="微软雅黑"/>
        </w:rPr>
        <w:t>数据变换</w:t>
      </w:r>
    </w:p>
    <w:p>
      <w:pPr>
        <w:spacing w:line="360" w:lineRule="auto" w:after="120"/>
      </w:pPr>
      <w:r>
        <w:rPr>
          <w:rFonts w:ascii="微软雅黑" w:hAnsi="微软雅黑"/>
          <w:sz w:val="21"/>
        </w:rPr>
        <w:t>对于</w:t>
      </w:r>
      <w:r>
        <w:rPr>
          <w:rFonts w:ascii="微软雅黑" w:hAnsi="微软雅黑"/>
          <w:b/>
          <w:sz w:val="21"/>
        </w:rPr>
        <w:t>数据变换</w:t>
      </w:r>
      <w:r>
        <w:rPr>
          <w:rFonts w:ascii="微软雅黑" w:hAnsi="微软雅黑"/>
          <w:sz w:val="21"/>
        </w:rPr>
        <w:t>，Foundry提供了一个可扩展、可扩展的数据搭建系统，利用多模态计算来生成输出数据集。Foundry的与计算无关的“搭建”框架提供了完全集成的安全性和数据沿袭，并支持第三方计算运行时的混合搭配。Foundry还包括一个集成的数据变换创作、变更管理、数据质量、管道调度和元数据内省功能套件，这些功能协同工作，为数据工程师提供一个“任务控制中心”。</w:t>
      </w:r>
    </w:p>
    <w:p>
      <w:pPr>
        <w:spacing w:line="360" w:lineRule="auto" w:after="120"/>
      </w:pPr>
      <w:r>
        <w:rPr>
          <w:rFonts w:ascii="微软雅黑" w:hAnsi="微软雅黑"/>
          <w:color w:val="0066CC"/>
          <w:sz w:val="21"/>
          <w:u w:val="single"/>
        </w:rPr>
        <w:t>了解更多关于使用Foundry变换数据的信息。</w:t>
      </w:r>
    </w:p>
    <w:p>
      <w:pPr>
        <w:pStyle w:val="Heading2"/>
      </w:pPr>
      <w:r>
        <w:rPr>
          <w:rFonts w:ascii="微软雅黑" w:hAnsi="微软雅黑"/>
        </w:rPr>
        <w:t>管道管理</w:t>
      </w:r>
    </w:p>
    <w:p>
      <w:pPr>
        <w:spacing w:line="360" w:lineRule="auto" w:after="120"/>
      </w:pPr>
      <w:r>
        <w:rPr>
          <w:rFonts w:ascii="微软雅黑" w:hAnsi="微软雅黑"/>
          <w:sz w:val="21"/>
        </w:rPr>
        <w:t>Foundry的</w:t>
      </w:r>
      <w:r>
        <w:rPr>
          <w:rFonts w:ascii="微软雅黑" w:hAnsi="微软雅黑"/>
          <w:b/>
          <w:sz w:val="21"/>
        </w:rPr>
        <w:t>管道管理</w:t>
      </w:r>
      <w:r>
        <w:rPr>
          <w:rFonts w:ascii="微软雅黑" w:hAnsi="微软雅黑"/>
          <w:sz w:val="21"/>
        </w:rPr>
        <w:t>功能结合了变更管理、数据质量和数据加载功能。</w:t>
      </w:r>
    </w:p>
    <w:p>
      <w:pPr>
        <w:spacing w:line="360" w:lineRule="auto" w:after="120"/>
      </w:pPr>
      <w:r>
        <w:rPr>
          <w:rFonts w:ascii="微软雅黑" w:hAnsi="微软雅黑"/>
          <w:sz w:val="21"/>
        </w:rPr>
        <w:t>管道构建器应用程序支持快速、灵活和可扩展的数据管道交付，同时提供稳健性和安全性。</w:t>
      </w:r>
      <w:r>
        <w:rPr>
          <w:rFonts w:ascii="微软雅黑" w:hAnsi="微软雅黑"/>
          <w:color w:val="0066CC"/>
          <w:sz w:val="21"/>
          <w:u w:val="single"/>
        </w:rPr>
        <w:t>了解更多关于管道构建器的信息。</w:t>
      </w:r>
    </w:p>
    <w:p>
      <w:pPr>
        <w:spacing w:line="360" w:lineRule="auto" w:after="120"/>
      </w:pPr>
      <w:r>
        <w:rPr>
          <w:rFonts w:ascii="微软雅黑" w:hAnsi="微软雅黑"/>
          <w:sz w:val="21"/>
        </w:rPr>
        <w:t>数据工程师可以为生产管道定义一个严格的发布流程，包括健康检查，以确保只有完全合规的数据会被部署到生产环境中。如果发现问题，平台会提供对检测到的差异的诊断。</w:t>
      </w:r>
    </w:p>
    <w:p>
      <w:pPr>
        <w:spacing w:line="360" w:lineRule="auto" w:after="120"/>
      </w:pPr>
      <w:r>
        <w:rPr>
          <w:rFonts w:ascii="微软雅黑" w:hAnsi="微软雅黑"/>
          <w:sz w:val="21"/>
        </w:rPr>
        <w:t>诊断不仅在Foundry的集成分析和建模工具中可用，还可以通过REST API或其他接口访问输出的任何第三方工具使用。</w:t>
      </w:r>
    </w:p>
    <w:p>
      <w:pPr>
        <w:spacing w:line="360" w:lineRule="auto" w:after="120"/>
      </w:pPr>
      <w:r>
        <w:rPr>
          <w:rFonts w:ascii="微软雅黑" w:hAnsi="微软雅黑"/>
          <w:color w:val="0066CC"/>
          <w:sz w:val="21"/>
          <w:u w:val="single"/>
        </w:rPr>
        <w:t>了解更多关于在Foundry中维护和管理管道的信息。</w:t>
      </w:r>
    </w:p>
    <w:p>
      <w:r>
        <w:br w:type="page"/>
      </w:r>
    </w:p>
    <w:p>
      <w:pPr>
        <w:pStyle w:val="Heading1"/>
      </w:pPr>
      <w:r>
        <w:rPr>
          <w:rFonts w:ascii="微软雅黑" w:hAnsi="微软雅黑"/>
        </w:rPr>
        <w:t>应用参考</w:t>
      </w:r>
    </w:p>
    <w:p>
      <w:pPr>
        <w:spacing w:line="360" w:lineRule="auto" w:after="120"/>
      </w:pPr>
      <w:r>
        <w:rPr>
          <w:rFonts w:ascii="微软雅黑" w:hAnsi="微软雅黑"/>
          <w:sz w:val="21"/>
        </w:rPr>
        <w:t># 应用参考</w:t>
      </w:r>
    </w:p>
    <w:p>
      <w:pPr>
        <w:spacing w:line="360" w:lineRule="auto" w:after="120"/>
      </w:pPr>
      <w:r>
        <w:rPr>
          <w:rFonts w:ascii="微软雅黑" w:hAnsi="微软雅黑"/>
          <w:sz w:val="21"/>
        </w:rPr>
        <w:t>此页面提供了您在执行数据集成工作流时可能遇到的 Foundry 应用的参考。</w:t>
      </w:r>
    </w:p>
    <w:p>
      <w:pPr>
        <w:pStyle w:val="Heading2"/>
      </w:pPr>
      <w:r>
        <w:rPr>
          <w:rFonts w:ascii="微软雅黑" w:hAnsi="微软雅黑"/>
        </w:rPr>
        <w:t>Pipeline Builder</w:t>
      </w:r>
    </w:p>
    <w:p>
      <w:pPr>
        <w:spacing w:line="360" w:lineRule="auto" w:after="120"/>
      </w:pPr>
      <w:r>
        <w:rPr>
          <w:rFonts w:ascii="微软雅黑" w:hAnsi="微软雅黑"/>
          <w:color w:val="0066CC"/>
          <w:sz w:val="21"/>
          <w:u w:val="single"/>
        </w:rPr>
        <w:t>**Pipeline Builder**</w:t>
      </w:r>
      <w:r>
        <w:rPr>
          <w:rFonts w:ascii="微软雅黑" w:hAnsi="微软雅黑"/>
          <w:sz w:val="21"/>
        </w:rPr>
        <w:t xml:space="preserve"> 是 Foundry 的主要数据集成应用。使用 Pipeline Builder，您可以创建从数据源到最终输出的端到端流水线工作流。Pipeline Builder 的用户可以在一个易于使用的应用中描述他们的工作流、变换数据、编辑架构，并构建输出。</w:t>
      </w:r>
    </w:p>
    <w:p>
      <w:pPr>
        <w:spacing w:line="360" w:lineRule="auto" w:after="120"/>
      </w:pPr>
      <w:r>
        <w:rPr>
          <w:rFonts w:ascii="微软雅黑" w:hAnsi="微软雅黑"/>
          <w:sz w:val="21"/>
        </w:rPr>
        <w:t>Pipeline Builder 具有直观的点击式界面和强大的后端模型，使技术和非技术用户能够比代码密集型应用更快地定义和部署流水线。简化的构建界面允许用户在架构检查的同时应用数据变换，节省通常在构建时用于计算和检查的时间和成本。诸如完整版本控制和可扩展性等附加功能使 Pipeline Builder 成为安全协作的理想应用。</w:t>
      </w:r>
    </w:p>
    <w:p>
      <w:pPr>
        <w:spacing w:after="40"/>
        <w:jc w:val="center"/>
      </w:pPr>
      <w:r>
        <w:rPr>
          <w:i/>
          <w:color w:val="646464"/>
          <w:sz w:val="18"/>
        </w:rPr>
        <w:t>图：Pipeline Builder的截图</w:t>
      </w:r>
    </w:p>
    <w:p>
      <w:pPr>
        <w:spacing w:before="120" w:after="240"/>
        <w:jc w:val="center"/>
      </w:pPr>
      <w:r>
        <w:drawing>
          <wp:inline xmlns:a="http://schemas.openxmlformats.org/drawingml/2006/main" xmlns:pic="http://schemas.openxmlformats.org/drawingml/2006/picture">
            <wp:extent cx="5029200" cy="2869399"/>
            <wp:docPr id="1" name="Picture 1"/>
            <wp:cNvGraphicFramePr>
              <a:graphicFrameLocks noChangeAspect="1"/>
            </wp:cNvGraphicFramePr>
            <a:graphic>
              <a:graphicData uri="http://schemas.openxmlformats.org/drawingml/2006/picture">
                <pic:pic>
                  <pic:nvPicPr>
                    <pic:cNvPr id="0" name="pipeline-builder-app-reference@2x.png"/>
                    <pic:cNvPicPr/>
                  </pic:nvPicPr>
                  <pic:blipFill>
                    <a:blip r:embed="rId9"/>
                    <a:stretch>
                      <a:fillRect/>
                    </a:stretch>
                  </pic:blipFill>
                  <pic:spPr>
                    <a:xfrm>
                      <a:off x="0" y="0"/>
                      <a:ext cx="5029200" cy="2869399"/>
                    </a:xfrm>
                    <a:prstGeom prst="rect"/>
                  </pic:spPr>
                </pic:pic>
              </a:graphicData>
            </a:graphic>
          </wp:inline>
        </w:drawing>
      </w:r>
    </w:p>
    <w:p>
      <w:pPr>
        <w:pStyle w:val="Heading2"/>
      </w:pPr>
      <w:r>
        <w:rPr>
          <w:rFonts w:ascii="微软雅黑" w:hAnsi="微软雅黑"/>
        </w:rPr>
        <w:t>Code Repositories</w:t>
      </w:r>
    </w:p>
    <w:p>
      <w:pPr>
        <w:spacing w:line="360" w:lineRule="auto" w:after="120"/>
      </w:pPr>
      <w:r>
        <w:rPr>
          <w:rFonts w:ascii="微软雅黑" w:hAnsi="微软雅黑"/>
          <w:color w:val="0066CC"/>
          <w:sz w:val="21"/>
          <w:u w:val="single"/>
        </w:rPr>
        <w:t>**Code Repositories**</w:t>
      </w:r>
      <w:r>
        <w:rPr>
          <w:rFonts w:ascii="微软雅黑" w:hAnsi="微软雅黑"/>
          <w:sz w:val="21"/>
        </w:rPr>
        <w:t xml:space="preserve"> 是 Foundry 的主要代码编写界面，最常用于用 Python、Java 和 SQL 创建数据流水线。Code Repositories 提供了一个集成开发环境 (IDE) ，在 </w:t>
      </w:r>
      <w:r>
        <w:rPr>
          <w:rFonts w:ascii="Consolas" w:hAnsi="Consolas"/>
          <w:color w:val="B43C3C"/>
          <w:sz w:val="18"/>
        </w:rPr>
        <w:t>git</w:t>
      </w:r>
      <w:r>
        <w:rPr>
          <w:rFonts w:ascii="微软雅黑" w:hAnsi="微软雅黑"/>
          <w:sz w:val="21"/>
        </w:rPr>
        <w:t xml:space="preserve"> 服务器之上，实现流水线逻辑的协作和治理，并原生支持编写、测试和预览数据变换逻辑。Code Repositories 也可用于编写</w:t>
      </w:r>
      <w:r>
        <w:rPr>
          <w:rFonts w:ascii="微软雅黑" w:hAnsi="微软雅黑"/>
          <w:color w:val="0066CC"/>
          <w:sz w:val="21"/>
          <w:u w:val="single"/>
        </w:rPr>
        <w:t>机器学习模型</w:t>
      </w:r>
      <w:r>
        <w:rPr>
          <w:rFonts w:ascii="微软雅黑" w:hAnsi="微软雅黑"/>
          <w:sz w:val="21"/>
        </w:rPr>
        <w:t xml:space="preserve">和 Ontology </w:t>
      </w:r>
      <w:r>
        <w:rPr>
          <w:rFonts w:ascii="微软雅黑" w:hAnsi="微软雅黑"/>
          <w:color w:val="0066CC"/>
          <w:sz w:val="21"/>
          <w:u w:val="single"/>
        </w:rPr>
        <w:t>函数</w:t>
      </w:r>
      <w:r>
        <w:rPr>
          <w:rFonts w:ascii="微软雅黑" w:hAnsi="微软雅黑"/>
          <w:sz w:val="21"/>
        </w:rPr>
        <w:t>。</w:t>
      </w:r>
    </w:p>
    <w:p>
      <w:pPr>
        <w:spacing w:after="40"/>
        <w:jc w:val="center"/>
      </w:pPr>
      <w:r>
        <w:rPr>
          <w:i/>
          <w:color w:val="646464"/>
          <w:sz w:val="18"/>
        </w:rPr>
        <w:t>图：Code Repositories变换的截图</w:t>
      </w:r>
    </w:p>
    <w:p>
      <w:pPr>
        <w:spacing w:before="120" w:after="240"/>
        <w:jc w:val="center"/>
      </w:pPr>
      <w:r>
        <w:drawing>
          <wp:inline xmlns:a="http://schemas.openxmlformats.org/drawingml/2006/main" xmlns:pic="http://schemas.openxmlformats.org/drawingml/2006/picture">
            <wp:extent cx="5029200" cy="2866270"/>
            <wp:docPr id="2" name="Picture 2"/>
            <wp:cNvGraphicFramePr>
              <a:graphicFrameLocks noChangeAspect="1"/>
            </wp:cNvGraphicFramePr>
            <a:graphic>
              <a:graphicData uri="http://schemas.openxmlformats.org/drawingml/2006/picture">
                <pic:pic>
                  <pic:nvPicPr>
                    <pic:cNvPr id="0" name="code-repos-transforms.png"/>
                    <pic:cNvPicPr/>
                  </pic:nvPicPr>
                  <pic:blipFill>
                    <a:blip r:embed="rId10"/>
                    <a:stretch>
                      <a:fillRect/>
                    </a:stretch>
                  </pic:blipFill>
                  <pic:spPr>
                    <a:xfrm>
                      <a:off x="0" y="0"/>
                      <a:ext cx="5029200" cy="2866270"/>
                    </a:xfrm>
                    <a:prstGeom prst="rect"/>
                  </pic:spPr>
                </pic:pic>
              </a:graphicData>
            </a:graphic>
          </wp:inline>
        </w:drawing>
      </w:r>
    </w:p>
    <w:p>
      <w:pPr>
        <w:spacing w:line="360" w:lineRule="auto" w:after="120"/>
      </w:pPr>
      <w:r>
        <w:rPr>
          <w:rFonts w:ascii="微软雅黑" w:hAnsi="微软雅黑"/>
          <w:sz w:val="21"/>
        </w:rPr>
        <w:t>如果您对数据科学和基于代码的分析感兴趣，</w:t>
      </w:r>
      <w:r>
        <w:rPr>
          <w:rFonts w:ascii="微软雅黑" w:hAnsi="微软雅黑"/>
          <w:color w:val="0066CC"/>
          <w:sz w:val="21"/>
          <w:u w:val="single"/>
        </w:rPr>
        <w:t>Code Workbook</w:t>
      </w:r>
      <w:r>
        <w:rPr>
          <w:rFonts w:ascii="微软雅黑" w:hAnsi="微软雅黑"/>
          <w:sz w:val="21"/>
        </w:rPr>
        <w:t xml:space="preserve"> 可能更适合您的应用案例。</w:t>
      </w:r>
      <w:r>
        <w:rPr>
          <w:rFonts w:ascii="微软雅黑" w:hAnsi="微软雅黑"/>
          <w:color w:val="0066CC"/>
          <w:sz w:val="21"/>
          <w:u w:val="single"/>
        </w:rPr>
        <w:t>了解 Code Workbook、Code Workspaces 和 Code Repositories 之间的区别。</w:t>
      </w:r>
    </w:p>
    <w:p>
      <w:pPr>
        <w:pStyle w:val="Heading2"/>
      </w:pPr>
      <w:r>
        <w:rPr>
          <w:rFonts w:ascii="微软雅黑" w:hAnsi="微软雅黑"/>
        </w:rPr>
        <w:t>数据沿袭</w:t>
      </w:r>
    </w:p>
    <w:p>
      <w:pPr>
        <w:spacing w:line="360" w:lineRule="auto" w:after="120"/>
      </w:pPr>
      <w:r>
        <w:rPr>
          <w:rFonts w:ascii="微软雅黑" w:hAnsi="微软雅黑"/>
          <w:color w:val="0066CC"/>
          <w:sz w:val="21"/>
          <w:u w:val="single"/>
        </w:rPr>
        <w:t>**数据沿袭**</w:t>
      </w:r>
      <w:r>
        <w:rPr>
          <w:rFonts w:ascii="微软雅黑" w:hAnsi="微软雅黑"/>
          <w:sz w:val="21"/>
        </w:rPr>
        <w:t xml:space="preserve"> 是一个显示数据如何在 Foundry 中流动的应用。您可以使用它来探索 Foundry 中的任何资源如何跨越各个项目或应用案例的边界与其他资源相连。包括对数据源、数据集、分析、Ontology object 和链接类型以及面向用户的应用的支持。除了探索连接之外，您还可以使用数据沿袭查看数据预览、查看用于推导任何数据片段的逻辑，以及管理计划的流水线。</w:t>
      </w:r>
    </w:p>
    <w:p>
      <w:pPr>
        <w:spacing w:after="40"/>
        <w:jc w:val="center"/>
      </w:pPr>
      <w:r>
        <w:rPr>
          <w:i/>
          <w:color w:val="646464"/>
          <w:sz w:val="18"/>
        </w:rPr>
        <w:t>图：数据沿袭流动动画</w:t>
      </w:r>
    </w:p>
    <w:p>
      <w:pPr>
        <w:spacing w:before="120" w:after="240"/>
        <w:jc w:val="center"/>
      </w:pPr>
      <w:r>
        <w:drawing>
          <wp:inline xmlns:a="http://schemas.openxmlformats.org/drawingml/2006/main" xmlns:pic="http://schemas.openxmlformats.org/drawingml/2006/picture">
            <wp:extent cx="5029200" cy="2615831"/>
            <wp:docPr id="3" name="Picture 3"/>
            <wp:cNvGraphicFramePr>
              <a:graphicFrameLocks noChangeAspect="1"/>
            </wp:cNvGraphicFramePr>
            <a:graphic>
              <a:graphicData uri="http://schemas.openxmlformats.org/drawingml/2006/picture">
                <pic:pic>
                  <pic:nvPicPr>
                    <pic:cNvPr id="0" name="data-lineage-flow.gif"/>
                    <pic:cNvPicPr/>
                  </pic:nvPicPr>
                  <pic:blipFill>
                    <a:blip r:embed="rId11"/>
                    <a:stretch>
                      <a:fillRect/>
                    </a:stretch>
                  </pic:blipFill>
                  <pic:spPr>
                    <a:xfrm>
                      <a:off x="0" y="0"/>
                      <a:ext cx="5029200" cy="2615831"/>
                    </a:xfrm>
                    <a:prstGeom prst="rect"/>
                  </pic:spPr>
                </pic:pic>
              </a:graphicData>
            </a:graphic>
          </wp:inline>
        </w:drawing>
      </w:r>
    </w:p>
    <w:p>
      <w:pPr>
        <w:pStyle w:val="Heading2"/>
      </w:pPr>
      <w:r>
        <w:rPr>
          <w:rFonts w:ascii="微软雅黑" w:hAnsi="微软雅黑"/>
        </w:rPr>
        <w:t>数据连接</w:t>
      </w:r>
    </w:p>
    <w:p>
      <w:pPr>
        <w:spacing w:line="360" w:lineRule="auto" w:after="120"/>
      </w:pPr>
      <w:r>
        <w:rPr>
          <w:rFonts w:ascii="微软雅黑" w:hAnsi="微软雅黑"/>
          <w:color w:val="0066CC"/>
          <w:sz w:val="21"/>
          <w:u w:val="single"/>
        </w:rPr>
        <w:t>**数据连接**</w:t>
      </w:r>
      <w:r>
        <w:rPr>
          <w:rFonts w:ascii="微软雅黑" w:hAnsi="微软雅黑"/>
          <w:sz w:val="21"/>
        </w:rPr>
        <w:t xml:space="preserve"> 是用于将数据同步到 Foundry 并管理关联资源（包括源凭证）的应用。经过初始设置后，数据连接使您可以轻松地探索数据源并同步新数据以进行应用案例开发，同时遵守管理源系统和大规模应用案例所需的全部治理控制。</w:t>
      </w:r>
    </w:p>
    <w:p>
      <w:pPr>
        <w:pStyle w:val="Heading2"/>
      </w:pPr>
      <w:r>
        <w:rPr>
          <w:rFonts w:ascii="微软雅黑" w:hAnsi="微软雅黑"/>
        </w:rPr>
        <w:t>数据集预览</w:t>
      </w:r>
    </w:p>
    <w:p>
      <w:pPr>
        <w:spacing w:line="360" w:lineRule="auto" w:after="120"/>
      </w:pPr>
      <w:r>
        <w:rPr>
          <w:rFonts w:ascii="微软雅黑" w:hAnsi="微软雅黑"/>
          <w:color w:val="0066CC"/>
          <w:sz w:val="21"/>
          <w:u w:val="single"/>
        </w:rPr>
        <w:t>**数据集预览**</w:t>
      </w:r>
      <w:r>
        <w:rPr>
          <w:rFonts w:ascii="微软雅黑" w:hAnsi="微软雅黑"/>
          <w:sz w:val="21"/>
        </w:rPr>
        <w:t xml:space="preserve"> 是用于查看和理解</w:t>
      </w:r>
      <w:r>
        <w:rPr>
          <w:rFonts w:ascii="微软雅黑" w:hAnsi="微软雅黑"/>
          <w:color w:val="0066CC"/>
          <w:sz w:val="21"/>
          <w:u w:val="single"/>
        </w:rPr>
        <w:t>数据集</w:t>
      </w:r>
      <w:r>
        <w:rPr>
          <w:rFonts w:ascii="微软雅黑" w:hAnsi="微软雅黑"/>
          <w:sz w:val="21"/>
        </w:rPr>
        <w:t>的应用。从任何其他应用打开数据集时，会显示数据集的内容以及一系列上下文信息。这包括数据集所有权的信息、数据集如何随时间变化、任何适用的健康检查以及更多详细信息。</w:t>
      </w:r>
    </w:p>
    <w:p>
      <w:pPr>
        <w:spacing w:after="40"/>
        <w:jc w:val="center"/>
      </w:pPr>
      <w:r>
        <w:rPr>
          <w:i/>
          <w:color w:val="646464"/>
          <w:sz w:val="18"/>
        </w:rPr>
        <w:t>图：数据集预览</w:t>
      </w:r>
    </w:p>
    <w:p>
      <w:pPr>
        <w:spacing w:before="120" w:after="240"/>
        <w:jc w:val="center"/>
      </w:pPr>
      <w:r>
        <w:drawing>
          <wp:inline xmlns:a="http://schemas.openxmlformats.org/drawingml/2006/main" xmlns:pic="http://schemas.openxmlformats.org/drawingml/2006/picture">
            <wp:extent cx="5029200" cy="2596918"/>
            <wp:docPr id="4" name="Picture 4"/>
            <wp:cNvGraphicFramePr>
              <a:graphicFrameLocks noChangeAspect="1"/>
            </wp:cNvGraphicFramePr>
            <a:graphic>
              <a:graphicData uri="http://schemas.openxmlformats.org/drawingml/2006/picture">
                <pic:pic>
                  <pic:nvPicPr>
                    <pic:cNvPr id="0" name="dataset-preview.png"/>
                    <pic:cNvPicPr/>
                  </pic:nvPicPr>
                  <pic:blipFill>
                    <a:blip r:embed="rId12"/>
                    <a:stretch>
                      <a:fillRect/>
                    </a:stretch>
                  </pic:blipFill>
                  <pic:spPr>
                    <a:xfrm>
                      <a:off x="0" y="0"/>
                      <a:ext cx="5029200" cy="2596918"/>
                    </a:xfrm>
                    <a:prstGeom prst="rect"/>
                  </pic:spPr>
                </pic:pic>
              </a:graphicData>
            </a:graphic>
          </wp:inline>
        </w:drawing>
      </w:r>
    </w:p>
    <w:p>
      <w:pPr>
        <w:pStyle w:val="Heading2"/>
      </w:pPr>
      <w:r>
        <w:rPr>
          <w:rFonts w:ascii="微软雅黑" w:hAnsi="微软雅黑"/>
        </w:rPr>
        <w:t>数据健康</w:t>
      </w:r>
    </w:p>
    <w:p>
      <w:pPr>
        <w:spacing w:line="360" w:lineRule="auto" w:after="120"/>
      </w:pPr>
      <w:r>
        <w:rPr>
          <w:rFonts w:ascii="微软雅黑" w:hAnsi="微软雅黑"/>
          <w:color w:val="0066CC"/>
          <w:sz w:val="21"/>
          <w:u w:val="single"/>
        </w:rPr>
        <w:t>**数据健康**</w:t>
      </w:r>
      <w:r>
        <w:rPr>
          <w:rFonts w:ascii="微软雅黑" w:hAnsi="微软雅黑"/>
          <w:sz w:val="21"/>
        </w:rPr>
        <w:t xml:space="preserve"> 用于管理跨所有数据流水线的</w:t>
      </w:r>
      <w:r>
        <w:rPr>
          <w:rFonts w:ascii="微软雅黑" w:hAnsi="微软雅黑"/>
          <w:color w:val="0066CC"/>
          <w:sz w:val="21"/>
          <w:u w:val="single"/>
        </w:rPr>
        <w:t>健康检查</w:t>
      </w:r>
      <w:r>
        <w:rPr>
          <w:rFonts w:ascii="微软雅黑" w:hAnsi="微软雅黑"/>
          <w:sz w:val="21"/>
        </w:rPr>
        <w:t>。数据健康允许流水线维护者快速了解其流水线的性能和可靠性，并订阅健康检查或</w:t>
      </w:r>
      <w:r>
        <w:rPr>
          <w:rFonts w:ascii="微软雅黑" w:hAnsi="微软雅黑"/>
          <w:color w:val="0066CC"/>
          <w:sz w:val="21"/>
          <w:u w:val="single"/>
        </w:rPr>
        <w:t>检查组</w:t>
      </w:r>
      <w:r>
        <w:rPr>
          <w:rFonts w:ascii="微软雅黑" w:hAnsi="微软雅黑"/>
          <w:sz w:val="21"/>
        </w:rPr>
        <w:t>的警报，以启用广泛的数据流水线维护工作流。</w:t>
      </w:r>
    </w:p>
    <w:p>
      <w:pPr>
        <w:spacing w:after="40"/>
        <w:jc w:val="center"/>
      </w:pPr>
      <w:r>
        <w:rPr>
          <w:i/>
          <w:color w:val="646464"/>
          <w:sz w:val="18"/>
        </w:rPr>
        <w:t>图：数据健康</w:t>
      </w:r>
    </w:p>
    <w:p>
      <w:pPr>
        <w:spacing w:before="120" w:after="240"/>
        <w:jc w:val="center"/>
      </w:pPr>
      <w:r>
        <w:drawing>
          <wp:inline xmlns:a="http://schemas.openxmlformats.org/drawingml/2006/main" xmlns:pic="http://schemas.openxmlformats.org/drawingml/2006/picture">
            <wp:extent cx="5029200" cy="3620617"/>
            <wp:docPr id="5" name="Picture 5"/>
            <wp:cNvGraphicFramePr>
              <a:graphicFrameLocks noChangeAspect="1"/>
            </wp:cNvGraphicFramePr>
            <a:graphic>
              <a:graphicData uri="http://schemas.openxmlformats.org/drawingml/2006/picture">
                <pic:pic>
                  <pic:nvPicPr>
                    <pic:cNvPr id="0" name="data-health.png"/>
                    <pic:cNvPicPr/>
                  </pic:nvPicPr>
                  <pic:blipFill>
                    <a:blip r:embed="rId13"/>
                    <a:stretch>
                      <a:fillRect/>
                    </a:stretch>
                  </pic:blipFill>
                  <pic:spPr>
                    <a:xfrm>
                      <a:off x="0" y="0"/>
                      <a:ext cx="5029200" cy="3620617"/>
                    </a:xfrm>
                    <a:prstGeom prst="rect"/>
                  </pic:spPr>
                </pic:pic>
              </a:graphicData>
            </a:graphic>
          </wp:inline>
        </w:drawing>
      </w:r>
    </w:p>
    <w:p>
      <w:pPr>
        <w:pStyle w:val="Heading2"/>
      </w:pPr>
      <w:r>
        <w:rPr>
          <w:rFonts w:ascii="微软雅黑" w:hAnsi="微软雅黑"/>
        </w:rPr>
        <w:t>构建</w:t>
      </w:r>
    </w:p>
    <w:p>
      <w:r>
        <w:rPr>
          <w:rFonts w:ascii="微软雅黑" w:hAnsi="微软雅黑"/>
          <w:b/>
        </w:rPr>
        <w:t>构建应用</w:t>
      </w:r>
      <w:r>
        <w:rPr>
          <w:rFonts w:ascii="微软雅黑" w:hAnsi="微软雅黑"/>
        </w:rPr>
        <w:t>：——原名任务跟踪器——允许您查看 Foundry 中发生的所有[构建](/zh/foundry/data-integration/builds/)，并探索有关每个构建的详细信息，包括执行进度、调度以及过去的成功和失败率。构建应用还允许您访问底层执行的 Spark 执行引擎的详细信息，从而启用调试和优化工作流。</w:t>
      </w:r>
    </w:p>
    <w:p>
      <w:pPr>
        <w:spacing w:after="40"/>
        <w:jc w:val="center"/>
      </w:pPr>
      <w:r>
        <w:rPr>
          <w:i/>
          <w:color w:val="646464"/>
          <w:sz w:val="18"/>
        </w:rPr>
        <w:t>图：构建应用</w:t>
      </w:r>
    </w:p>
    <w:p>
      <w:pPr>
        <w:spacing w:before="120" w:after="240"/>
        <w:jc w:val="center"/>
      </w:pPr>
      <w:r>
        <w:drawing>
          <wp:inline xmlns:a="http://schemas.openxmlformats.org/drawingml/2006/main" xmlns:pic="http://schemas.openxmlformats.org/drawingml/2006/picture">
            <wp:extent cx="5029200" cy="2474800"/>
            <wp:docPr id="6" name="Picture 6"/>
            <wp:cNvGraphicFramePr>
              <a:graphicFrameLocks noChangeAspect="1"/>
            </wp:cNvGraphicFramePr>
            <a:graphic>
              <a:graphicData uri="http://schemas.openxmlformats.org/drawingml/2006/picture">
                <pic:pic>
                  <pic:nvPicPr>
                    <pic:cNvPr id="0" name="builds.png"/>
                    <pic:cNvPicPr/>
                  </pic:nvPicPr>
                  <pic:blipFill>
                    <a:blip r:embed="rId14"/>
                    <a:stretch>
                      <a:fillRect/>
                    </a:stretch>
                  </pic:blipFill>
                  <pic:spPr>
                    <a:xfrm>
                      <a:off x="0" y="0"/>
                      <a:ext cx="5029200" cy="2474800"/>
                    </a:xfrm>
                    <a:prstGeom prst="rect"/>
                  </pic:spPr>
                </pic:pic>
              </a:graphicData>
            </a:graphic>
          </wp:inline>
        </w:drawing>
      </w:r>
    </w:p>
    <w:p>
      <w:r>
        <w:br w:type="page"/>
      </w:r>
    </w:p>
    <w:p>
      <w:pPr>
        <w:pStyle w:val="Heading1"/>
      </w:pPr>
      <w:r>
        <w:rPr>
          <w:rFonts w:ascii="微软雅黑" w:hAnsi="微软雅黑"/>
        </w:rPr>
        <w:t>分支</w:t>
      </w:r>
    </w:p>
    <w:p>
      <w:pPr>
        <w:spacing w:line="360" w:lineRule="auto" w:after="120"/>
      </w:pPr>
      <w:r>
        <w:rPr>
          <w:rFonts w:ascii="微软雅黑" w:hAnsi="微软雅黑"/>
          <w:sz w:val="21"/>
        </w:rPr>
        <w:t># 分支</w:t>
      </w:r>
    </w:p>
    <w:p>
      <w:pPr>
        <w:spacing w:line="360" w:lineRule="auto" w:after="120"/>
      </w:pPr>
      <w:r>
        <w:rPr>
          <w:rFonts w:ascii="微软雅黑" w:hAnsi="微软雅黑"/>
          <w:sz w:val="21"/>
        </w:rPr>
        <w:t>软件开发人员通常使用版本控制系统在代码库中协调工作。这使得多个工程师可以安全地对同一代码进行贡献。</w:t>
      </w:r>
    </w:p>
    <w:p>
      <w:pPr>
        <w:spacing w:line="360" w:lineRule="auto" w:after="120"/>
      </w:pPr>
      <w:r>
        <w:rPr>
          <w:rFonts w:ascii="微软雅黑" w:hAnsi="微软雅黑"/>
          <w:sz w:val="21"/>
        </w:rPr>
        <w:t>在 Foundry 中，我们以软件开发人员对待代码的方式来看待数据：您需要一种方法来允许多人更改和交互同一数据而不干扰他人的工作。我们从软件开发中借鉴最佳实践，并将其应用于编写数据管道，利用版本控制系统的一个常见功能，称为</w:t>
      </w:r>
      <w:r>
        <w:rPr>
          <w:rFonts w:ascii="微软雅黑" w:hAnsi="微软雅黑"/>
          <w:b/>
          <w:sz w:val="21"/>
        </w:rPr>
        <w:t>分支</w:t>
      </w:r>
      <w:r>
        <w:rPr>
          <w:rFonts w:ascii="微软雅黑" w:hAnsi="微软雅黑"/>
          <w:sz w:val="21"/>
        </w:rPr>
        <w:t>。</w:t>
      </w:r>
    </w:p>
    <w:p>
      <w:pPr>
        <w:spacing w:line="360" w:lineRule="auto" w:after="120"/>
      </w:pPr>
      <w:r>
        <w:rPr>
          <w:rFonts w:ascii="微软雅黑" w:hAnsi="微软雅黑"/>
          <w:sz w:val="21"/>
        </w:rPr>
        <w:t>从高层次来看，</w:t>
      </w:r>
      <w:r>
        <w:rPr>
          <w:rFonts w:ascii="微软雅黑" w:hAnsi="微软雅黑"/>
          <w:b/>
          <w:sz w:val="21"/>
        </w:rPr>
        <w:t>分支</w:t>
      </w:r>
      <w:r>
        <w:rPr>
          <w:rFonts w:ascii="微软雅黑" w:hAnsi="微软雅黑"/>
          <w:sz w:val="21"/>
        </w:rPr>
        <w:t>允许您在自己的分支上对数据进行变换。然后，一旦您对自己的更改感到满意，您可以将更改从自己的分支推送回主干。</w:t>
      </w:r>
    </w:p>
    <w:p>
      <w:pPr>
        <w:pStyle w:val="Heading2"/>
      </w:pPr>
      <w:r>
        <w:rPr>
          <w:rFonts w:ascii="微软雅黑" w:hAnsi="微软雅黑"/>
        </w:rPr>
        <w:t>分支工作流程</w:t>
      </w:r>
    </w:p>
    <w:p>
      <w:pPr>
        <w:spacing w:line="360" w:lineRule="auto" w:after="120"/>
      </w:pPr>
      <w:r>
        <w:rPr>
          <w:rFonts w:ascii="微软雅黑" w:hAnsi="微软雅黑"/>
          <w:sz w:val="21"/>
        </w:rPr>
        <w:t>如何在 Foundry 中使用分支工作流程更改数据管道代码：</w:t>
      </w:r>
    </w:p>
    <w:p>
      <w:pPr>
        <w:spacing w:after="40"/>
        <w:jc w:val="center"/>
      </w:pPr>
      <w:r>
        <w:rPr>
          <w:i/>
          <w:color w:val="646464"/>
          <w:sz w:val="18"/>
        </w:rPr>
        <w:t>图：branching example</w:t>
      </w:r>
    </w:p>
    <w:p>
      <w:pPr>
        <w:spacing w:before="120" w:after="240"/>
        <w:jc w:val="center"/>
      </w:pPr>
      <w:r>
        <w:drawing>
          <wp:inline xmlns:a="http://schemas.openxmlformats.org/drawingml/2006/main" xmlns:pic="http://schemas.openxmlformats.org/drawingml/2006/picture">
            <wp:extent cx="5029200" cy="1763244"/>
            <wp:docPr id="7" name="Picture 7"/>
            <wp:cNvGraphicFramePr>
              <a:graphicFrameLocks noChangeAspect="1"/>
            </wp:cNvGraphicFramePr>
            <a:graphic>
              <a:graphicData uri="http://schemas.openxmlformats.org/drawingml/2006/picture">
                <pic:pic>
                  <pic:nvPicPr>
                    <pic:cNvPr id="0" name="branching-example.png"/>
                    <pic:cNvPicPr/>
                  </pic:nvPicPr>
                  <pic:blipFill>
                    <a:blip r:embed="rId15"/>
                    <a:stretch>
                      <a:fillRect/>
                    </a:stretch>
                  </pic:blipFill>
                  <pic:spPr>
                    <a:xfrm>
                      <a:off x="0" y="0"/>
                      <a:ext cx="5029200" cy="1763244"/>
                    </a:xfrm>
                    <a:prstGeom prst="rect"/>
                  </pic:spPr>
                </pic:pic>
              </a:graphicData>
            </a:graphic>
          </wp:inline>
        </w:drawing>
      </w:r>
    </w:p>
    <w:p>
      <w:pPr>
        <w:pStyle w:val="ListNumber"/>
        <w:spacing w:line="360" w:lineRule="auto" w:after="120"/>
      </w:pPr>
      <w:r>
        <w:rPr>
          <w:rFonts w:ascii="微软雅黑" w:hAnsi="微软雅黑"/>
          <w:b/>
          <w:sz w:val="21"/>
        </w:rPr>
        <w:t>创建分支</w:t>
      </w:r>
      <w:r>
        <w:rPr>
          <w:rFonts w:ascii="微软雅黑" w:hAnsi="微软雅黑"/>
          <w:sz w:val="21"/>
        </w:rPr>
        <w:t>。在 Foundry 中，</w:t>
      </w:r>
      <w:r>
        <w:rPr>
          <w:rFonts w:ascii="微软雅黑" w:hAnsi="微软雅黑"/>
          <w:b/>
          <w:sz w:val="21"/>
        </w:rPr>
        <w:t>`master` 分支</w:t>
      </w:r>
      <w:r>
        <w:rPr>
          <w:rFonts w:ascii="微软雅黑" w:hAnsi="微软雅黑"/>
          <w:sz w:val="21"/>
        </w:rPr>
        <w:t xml:space="preserve">指的是主数据管道。当您想要进行自己的更改时，您创建自己的分支，这为您提供了一个环境来实验和测试想法，而不必担心影响 </w:t>
      </w:r>
      <w:r>
        <w:rPr>
          <w:rFonts w:ascii="Consolas" w:hAnsi="Consolas"/>
          <w:color w:val="B43C3C"/>
          <w:sz w:val="18"/>
        </w:rPr>
        <w:t>master</w:t>
      </w:r>
      <w:r>
        <w:rPr>
          <w:rFonts w:ascii="微软雅黑" w:hAnsi="微软雅黑"/>
          <w:sz w:val="21"/>
        </w:rPr>
        <w:t xml:space="preserve"> 分支。</w:t>
      </w:r>
    </w:p>
    <w:p>
      <w:pPr>
        <w:pStyle w:val="ListNumber"/>
        <w:spacing w:line="360" w:lineRule="auto" w:after="120"/>
      </w:pPr>
      <w:r>
        <w:rPr>
          <w:rFonts w:ascii="微软雅黑" w:hAnsi="微软雅黑"/>
          <w:b/>
          <w:sz w:val="21"/>
        </w:rPr>
        <w:t>创建提交</w:t>
      </w:r>
      <w:r>
        <w:rPr>
          <w:rFonts w:ascii="微软雅黑" w:hAnsi="微软雅黑"/>
          <w:sz w:val="21"/>
        </w:rPr>
        <w:t>。在您的分支中，您可以对数据变换进行更改。更改，包括添加和删除，称为</w:t>
      </w:r>
      <w:r>
        <w:rPr>
          <w:rFonts w:ascii="微软雅黑" w:hAnsi="微软雅黑"/>
          <w:b/>
          <w:sz w:val="21"/>
        </w:rPr>
        <w:t>提交</w:t>
      </w:r>
      <w:r>
        <w:rPr>
          <w:rFonts w:ascii="微软雅黑" w:hAnsi="微软雅黑"/>
          <w:sz w:val="21"/>
        </w:rPr>
        <w:t>。您的提交会被跟踪，以便清楚记录您在分支上所做的所有更改的历史。</w:t>
      </w:r>
    </w:p>
    <w:p>
      <w:pPr>
        <w:pStyle w:val="ListNumber"/>
        <w:spacing w:line="360" w:lineRule="auto" w:after="120"/>
      </w:pPr>
      <w:r>
        <w:rPr>
          <w:rFonts w:ascii="微软雅黑" w:hAnsi="微软雅黑"/>
          <w:b/>
          <w:sz w:val="21"/>
        </w:rPr>
        <w:t>创建拉取请求</w:t>
      </w:r>
      <w:r>
        <w:rPr>
          <w:rFonts w:ascii="微软雅黑" w:hAnsi="微软雅黑"/>
          <w:sz w:val="21"/>
        </w:rPr>
        <w:t>。一旦您完成了独立工作，您将希望将更改推回到 master 分支。要开始此过程，您需要创建一个</w:t>
      </w:r>
      <w:r>
        <w:rPr>
          <w:rFonts w:ascii="微软雅黑" w:hAnsi="微软雅黑"/>
          <w:b/>
          <w:sz w:val="21"/>
        </w:rPr>
        <w:t>拉取请求</w:t>
      </w:r>
      <w:r>
        <w:rPr>
          <w:rFonts w:ascii="微软雅黑" w:hAnsi="微软雅黑"/>
          <w:sz w:val="21"/>
        </w:rPr>
        <w:t xml:space="preserve">。拉取请求向您的团队发出信号，表明您已进行了更改，希望他们审核并验证 </w:t>
      </w:r>
      <w:r>
        <w:rPr>
          <w:rFonts w:ascii="Consolas" w:hAnsi="Consolas"/>
          <w:color w:val="B43C3C"/>
          <w:sz w:val="18"/>
        </w:rPr>
        <w:t>master</w:t>
      </w:r>
      <w:r>
        <w:rPr>
          <w:rFonts w:ascii="微软雅黑" w:hAnsi="微软雅黑"/>
          <w:sz w:val="21"/>
        </w:rPr>
        <w:t xml:space="preserve"> 数据管道。</w:t>
      </w:r>
    </w:p>
    <w:p>
      <w:pPr>
        <w:pStyle w:val="ListNumber"/>
        <w:spacing w:line="360" w:lineRule="auto" w:after="120"/>
      </w:pPr>
      <w:r>
        <w:rPr>
          <w:rFonts w:ascii="微软雅黑" w:hAnsi="微软雅黑"/>
          <w:b/>
          <w:sz w:val="21"/>
        </w:rPr>
        <w:t>代码审核</w:t>
      </w:r>
      <w:r>
        <w:rPr>
          <w:rFonts w:ascii="微软雅黑" w:hAnsi="微软雅黑"/>
          <w:sz w:val="21"/>
        </w:rPr>
        <w:t>。在您创建拉取请求后，您的团队将有机会审核您的提交。每个组织将有不同的流程或团队来审核拉取请求。</w:t>
      </w:r>
    </w:p>
    <w:p>
      <w:pPr>
        <w:spacing w:line="360" w:lineRule="auto" w:after="120"/>
      </w:pPr>
      <w:r>
        <w:rPr>
          <w:rFonts w:ascii="微软雅黑" w:hAnsi="微软雅黑"/>
          <w:sz w:val="21"/>
        </w:rPr>
        <w:t>Foundry 分支实施了一个行业标准的类似 Git 的版本控制模式。因此，代码库应用程序被设计为每个文件上的一个独立分支有一个活跃的开发者。如果其他用户在您的\*\*</w:t>
      </w:r>
      <w:r>
        <w:rPr>
          <w:rFonts w:ascii="Consolas" w:hAnsi="Consolas"/>
          <w:color w:val="B43C3C"/>
          <w:sz w:val="18"/>
        </w:rPr>
        <w:t>personal</w:t>
      </w:r>
      <w:r>
        <w:rPr>
          <w:rFonts w:ascii="微软雅黑" w:hAnsi="微软雅黑"/>
          <w:sz w:val="21"/>
        </w:rPr>
        <w:t xml:space="preserve"> 分支\*\*上工作，您的更改可能会被覆盖。为避免这种情况，我们强烈建议每个人在一个独立的分支上工作。</w:t>
      </w:r>
    </w:p>
    <w:p>
      <w:pPr>
        <w:spacing w:line="360" w:lineRule="auto" w:after="120"/>
      </w:pPr>
      <w:r>
        <w:rPr>
          <w:rFonts w:ascii="微软雅黑" w:hAnsi="微软雅黑"/>
          <w:sz w:val="21"/>
        </w:rPr>
        <w:t xml:space="preserve">本页的其余部分描述了 Foundry 中分支的技术细节。如果您有兴趣学习如何在实践中使用分支，请遵循在 </w:t>
      </w:r>
      <w:r>
        <w:rPr>
          <w:rFonts w:ascii="微软雅黑" w:hAnsi="微软雅黑"/>
          <w:color w:val="0066CC"/>
          <w:sz w:val="21"/>
          <w:u w:val="single"/>
        </w:rPr>
        <w:t>管道构建器</w:t>
      </w:r>
      <w:r>
        <w:rPr>
          <w:rFonts w:ascii="微软雅黑" w:hAnsi="微软雅黑"/>
          <w:sz w:val="21"/>
        </w:rPr>
        <w:t>或</w:t>
      </w:r>
      <w:r>
        <w:rPr>
          <w:rFonts w:ascii="微软雅黑" w:hAnsi="微软雅黑"/>
          <w:color w:val="0066CC"/>
          <w:sz w:val="21"/>
          <w:u w:val="single"/>
        </w:rPr>
        <w:t>代码库</w:t>
      </w:r>
      <w:r>
        <w:rPr>
          <w:rFonts w:ascii="微软雅黑" w:hAnsi="微软雅黑"/>
          <w:sz w:val="21"/>
        </w:rPr>
        <w:t>中创建简单批处理管道的教程。</w:t>
      </w:r>
    </w:p>
    <w:p>
      <w:pPr>
        <w:pStyle w:val="Heading2"/>
      </w:pPr>
      <w:r>
        <w:rPr>
          <w:rFonts w:ascii="微软雅黑" w:hAnsi="微软雅黑"/>
        </w:rPr>
        <w:t>分支技术细节</w:t>
      </w:r>
    </w:p>
    <w:p>
      <w:pPr>
        <w:spacing w:line="360" w:lineRule="auto" w:after="120"/>
      </w:pPr>
      <w:r>
        <w:rPr>
          <w:rFonts w:ascii="微软雅黑" w:hAnsi="微软雅黑"/>
          <w:sz w:val="21"/>
        </w:rPr>
        <w:t>在 Foundry 中，数据的分支通过两个不同级别的功能实现：在</w:t>
      </w:r>
      <w:r>
        <w:rPr>
          <w:rFonts w:ascii="微软雅黑" w:hAnsi="微软雅黑"/>
          <w:color w:val="0066CC"/>
          <w:sz w:val="21"/>
          <w:u w:val="single"/>
        </w:rPr>
        <w:t>单个数据集</w:t>
      </w:r>
      <w:r>
        <w:rPr>
          <w:rFonts w:ascii="微软雅黑" w:hAnsi="微软雅黑"/>
          <w:sz w:val="21"/>
        </w:rPr>
        <w:t>内的分支，以及在</w:t>
      </w:r>
      <w:r>
        <w:rPr>
          <w:rFonts w:ascii="微软雅黑" w:hAnsi="微软雅黑"/>
          <w:color w:val="0066CC"/>
          <w:sz w:val="21"/>
          <w:u w:val="single"/>
        </w:rPr>
        <w:t>构建数据集</w:t>
      </w:r>
      <w:r>
        <w:rPr>
          <w:rFonts w:ascii="微软雅黑" w:hAnsi="微软雅黑"/>
          <w:sz w:val="21"/>
        </w:rPr>
        <w:t>时的分支。</w:t>
      </w:r>
    </w:p>
    <w:p>
      <w:pPr>
        <w:pStyle w:val="Heading2"/>
      </w:pPr>
      <w:r>
        <w:rPr>
          <w:rFonts w:ascii="微软雅黑" w:hAnsi="微软雅黑"/>
        </w:rPr>
        <w:t>数据集分支</w:t>
      </w:r>
    </w:p>
    <w:p>
      <w:pPr>
        <w:spacing w:line="360" w:lineRule="auto" w:after="120"/>
      </w:pPr>
      <w:r>
        <w:rPr>
          <w:rFonts w:ascii="微软雅黑" w:hAnsi="微软雅黑"/>
          <w:sz w:val="21"/>
        </w:rPr>
        <w:t>如</w:t>
      </w:r>
      <w:r>
        <w:rPr>
          <w:rFonts w:ascii="微软雅黑" w:hAnsi="微软雅黑"/>
          <w:color w:val="0066CC"/>
          <w:sz w:val="21"/>
          <w:u w:val="single"/>
        </w:rPr>
        <w:t>数据集</w:t>
      </w:r>
      <w:r>
        <w:rPr>
          <w:rFonts w:ascii="微软雅黑" w:hAnsi="微软雅黑"/>
          <w:sz w:val="21"/>
        </w:rPr>
        <w:t>页面所述，数据集的版本历史以一系列</w:t>
      </w:r>
      <w:r>
        <w:rPr>
          <w:rFonts w:ascii="微软雅黑" w:hAnsi="微软雅黑"/>
          <w:color w:val="0066CC"/>
          <w:sz w:val="21"/>
          <w:u w:val="single"/>
        </w:rPr>
        <w:t>事务</w:t>
      </w:r>
      <w:r>
        <w:rPr>
          <w:rFonts w:ascii="微软雅黑" w:hAnsi="微软雅黑"/>
          <w:sz w:val="21"/>
        </w:rPr>
        <w:t>的形式存在。从概念上讲，数据集分支类似于 Git 中的分支——*数据集*、*分支*和*事务*类似于 Git 的*仓库*、*分支*和*提交*。</w:t>
      </w:r>
    </w:p>
    <w:p>
      <w:pPr>
        <w:spacing w:line="360" w:lineRule="auto" w:after="120"/>
      </w:pPr>
      <w:r>
        <w:rPr>
          <w:rFonts w:ascii="微软雅黑" w:hAnsi="微软雅黑"/>
          <w:sz w:val="21"/>
        </w:rPr>
        <w:t>与 Git 中的分支类似，数据集分支只是指向该分支上最近事务的指针。因此，分支可以解释为按提交时间排序的事务的线性序列。当通过提交事务更改分支上的数据集时，所有其他分支的事务和视图不受影响。与 Git 不同的是，不支持合并数据集分支。</w:t>
      </w:r>
    </w:p>
    <w:p>
      <w:pPr>
        <w:spacing w:line="360" w:lineRule="auto" w:after="120"/>
      </w:pPr>
      <w:r>
        <w:rPr>
          <w:rFonts w:ascii="微软雅黑" w:hAnsi="微软雅黑"/>
          <w:sz w:val="21"/>
        </w:rPr>
        <w:t>每个数据集分支都有一个</w:t>
      </w:r>
      <w:r>
        <w:rPr>
          <w:rFonts w:ascii="微软雅黑" w:hAnsi="微软雅黑"/>
          <w:b/>
          <w:sz w:val="21"/>
        </w:rPr>
        <w:t>父分支</w:t>
      </w:r>
      <w:r>
        <w:rPr>
          <w:rFonts w:ascii="微软雅黑" w:hAnsi="微软雅黑"/>
          <w:sz w:val="21"/>
        </w:rPr>
        <w:t>，除非它是一个</w:t>
      </w:r>
      <w:r>
        <w:rPr>
          <w:rFonts w:ascii="微软雅黑" w:hAnsi="微软雅黑"/>
          <w:b/>
          <w:sz w:val="21"/>
        </w:rPr>
        <w:t>根分支</w:t>
      </w:r>
      <w:r>
        <w:rPr>
          <w:rFonts w:ascii="微软雅黑" w:hAnsi="微软雅黑"/>
          <w:sz w:val="21"/>
        </w:rPr>
        <w:t xml:space="preserve">。在实践中，Foundry 中的大多数数据集都有一个名为 </w:t>
      </w:r>
      <w:r>
        <w:rPr>
          <w:rFonts w:ascii="Consolas" w:hAnsi="Consolas"/>
          <w:color w:val="B43C3C"/>
          <w:sz w:val="18"/>
        </w:rPr>
        <w:t>master</w:t>
      </w:r>
      <w:r>
        <w:rPr>
          <w:rFonts w:ascii="微软雅黑" w:hAnsi="微软雅黑"/>
          <w:sz w:val="21"/>
        </w:rPr>
        <w:t xml:space="preserve"> 的单一根分支，并且从这个单一根分支创建子分支。</w:t>
      </w:r>
    </w:p>
    <w:p>
      <w:pPr>
        <w:spacing w:line="360" w:lineRule="auto" w:after="120"/>
      </w:pPr>
      <w:r>
        <w:rPr>
          <w:rFonts w:ascii="微软雅黑" w:hAnsi="微软雅黑"/>
          <w:sz w:val="21"/>
        </w:rPr>
        <w:t>以下是与数据集分支相关的所有支持操作：</w:t>
      </w:r>
    </w:p>
    <w:p>
      <w:pPr>
        <w:pStyle w:val="ListBullet"/>
        <w:spacing w:line="360" w:lineRule="auto" w:after="120"/>
      </w:pPr>
      <w:r>
        <w:rPr>
          <w:rFonts w:ascii="微软雅黑" w:hAnsi="微软雅黑"/>
          <w:b/>
          <w:sz w:val="21"/>
        </w:rPr>
        <w:t>创建新分支</w:t>
      </w:r>
      <w:r>
        <w:rPr>
          <w:rFonts w:ascii="微软雅黑" w:hAnsi="微软雅黑"/>
          <w:sz w:val="21"/>
        </w:rPr>
        <w:t>。可以创建没有父分支和事务的根分支。</w:t>
      </w:r>
    </w:p>
    <w:p>
      <w:pPr>
        <w:pStyle w:val="ListBullet"/>
        <w:spacing w:line="360" w:lineRule="auto" w:after="120"/>
      </w:pPr>
      <w:r>
        <w:rPr>
          <w:rFonts w:ascii="微软雅黑" w:hAnsi="微软雅黑"/>
          <w:b/>
          <w:sz w:val="21"/>
        </w:rPr>
        <w:t>创建子分支</w:t>
      </w:r>
      <w:r>
        <w:rPr>
          <w:rFonts w:ascii="微软雅黑" w:hAnsi="微软雅黑"/>
          <w:sz w:val="21"/>
        </w:rPr>
        <w:t>。可以从另一个分支或任何事务创建子分支。新分支指向与父分支相同的事务。随后，可以在父分支和子分支上开始事务，它们的事务指针将独立移动。</w:t>
      </w:r>
    </w:p>
    <w:p>
      <w:pPr>
        <w:pStyle w:val="ListBullet"/>
        <w:spacing w:line="360" w:lineRule="auto" w:after="120"/>
      </w:pPr>
      <w:r>
        <w:rPr>
          <w:rFonts w:ascii="微软雅黑" w:hAnsi="微软雅黑"/>
          <w:b/>
          <w:sz w:val="21"/>
        </w:rPr>
        <w:t>在分支上开始新事务</w:t>
      </w:r>
      <w:r>
        <w:rPr>
          <w:rFonts w:ascii="微软雅黑" w:hAnsi="微软雅黑"/>
          <w:sz w:val="21"/>
        </w:rPr>
        <w:t>。启动事务并将分支指针移动到新事务。</w:t>
      </w:r>
    </w:p>
    <w:p>
      <w:pPr>
        <w:pStyle w:val="ListBullet"/>
        <w:spacing w:line="360" w:lineRule="auto" w:after="120"/>
      </w:pPr>
      <w:r>
        <w:rPr>
          <w:rFonts w:ascii="微软雅黑" w:hAnsi="微软雅黑"/>
          <w:b/>
          <w:sz w:val="21"/>
        </w:rPr>
        <w:t>删除分支</w:t>
      </w:r>
      <w:r>
        <w:rPr>
          <w:rFonts w:ascii="微软雅黑" w:hAnsi="微软雅黑"/>
          <w:sz w:val="21"/>
        </w:rPr>
        <w:t>。删除分支指针，但不删除分支上的任何事务。请参阅下面的关于父分支的保证的说明。</w:t>
      </w:r>
    </w:p>
    <w:p>
      <w:pPr>
        <w:pStyle w:val="Heading3"/>
      </w:pPr>
      <w:r>
        <w:rPr>
          <w:rFonts w:ascii="微软雅黑" w:hAnsi="微软雅黑"/>
        </w:rPr>
        <w:t>数据集分支保证</w:t>
      </w:r>
    </w:p>
    <w:p>
      <w:pPr>
        <w:spacing w:line="360" w:lineRule="auto" w:after="120"/>
      </w:pPr>
      <w:r>
        <w:rPr>
          <w:rFonts w:ascii="微软雅黑" w:hAnsi="微软雅黑"/>
          <w:sz w:val="21"/>
        </w:rPr>
        <w:t>Foundry 为数据集分支提供以下保证：</w:t>
      </w:r>
    </w:p>
    <w:p>
      <w:pPr>
        <w:pStyle w:val="ListBullet"/>
        <w:spacing w:line="360" w:lineRule="auto" w:after="120"/>
      </w:pPr>
      <w:r>
        <w:rPr>
          <w:rFonts w:ascii="微软雅黑" w:hAnsi="微软雅黑"/>
          <w:b/>
          <w:sz w:val="21"/>
        </w:rPr>
        <w:t>每个分支一个开放事务</w:t>
      </w:r>
      <w:r>
        <w:rPr>
          <w:rFonts w:ascii="微软雅黑" w:hAnsi="微软雅黑"/>
          <w:sz w:val="21"/>
        </w:rPr>
        <w:t>。每个分支最多可以有一个开放（即打开且未提交或中止）的事务，并且该事务始终是分支上的最新事务。因此，一个只有一个分支的数据集最多可以有一个开放事务。如果一个分支指向一个开放事务，则可以从该分支创建一个新分支，但在事务关闭之前，无法启动新的事务。</w:t>
      </w:r>
    </w:p>
    <w:p>
      <w:pPr>
        <w:pStyle w:val="ListBullet"/>
        <w:spacing w:line="360" w:lineRule="auto" w:after="120"/>
      </w:pPr>
      <w:r>
        <w:rPr>
          <w:rFonts w:ascii="微软雅黑" w:hAnsi="微软雅黑"/>
          <w:b/>
          <w:sz w:val="21"/>
        </w:rPr>
        <w:t>在每个分支上，事务按开始和提交时间排序</w:t>
      </w:r>
      <w:r>
        <w:rPr>
          <w:rFonts w:ascii="微软雅黑" w:hAnsi="微软雅黑"/>
          <w:sz w:val="21"/>
        </w:rPr>
        <w:t>。这种保证是前一个限制的结果。然而，并不保证不同分支上的事务的时间顺序。</w:t>
      </w:r>
    </w:p>
    <w:p>
      <w:pPr>
        <w:pStyle w:val="ListBullet"/>
        <w:spacing w:line="360" w:lineRule="auto" w:after="120"/>
      </w:pPr>
      <w:r>
        <w:rPr>
          <w:rFonts w:ascii="微软雅黑" w:hAnsi="微软雅黑"/>
          <w:b/>
          <w:sz w:val="21"/>
        </w:rPr>
        <w:t>每个非根分支都有一个父分支</w:t>
      </w:r>
      <w:r>
        <w:rPr>
          <w:rFonts w:ascii="微软雅黑" w:hAnsi="微软雅黑"/>
          <w:sz w:val="21"/>
        </w:rPr>
        <w:t>。如果“中间”分支——有子分支的分支——被删除，子分支将被重新指定到已删除分支的父分支（如果它是根分支，则没有父分支）。注意，在此过程中没有事务被重新排列；重新指定仅更改分支祖先记录。</w:t>
      </w:r>
    </w:p>
    <w:p>
      <w:pPr>
        <w:pStyle w:val="Heading2"/>
      </w:pPr>
      <w:r>
        <w:rPr>
          <w:rFonts w:ascii="微软雅黑" w:hAnsi="微软雅黑"/>
        </w:rPr>
        <w:t>构建中的分支</w:t>
      </w:r>
    </w:p>
    <w:p>
      <w:pPr>
        <w:spacing w:line="360" w:lineRule="auto" w:after="120"/>
      </w:pPr>
      <w:r>
        <w:rPr>
          <w:rFonts w:ascii="微软雅黑" w:hAnsi="微软雅黑"/>
          <w:sz w:val="21"/>
        </w:rPr>
        <w:t>数据集分支为*版本化数据*提供了基础语义。Foundry 将数据集分支与 Git 分支相结合，以支持逻辑和数据同时进行分支，使数据工程师能够在将更改引入生产之前安全地对数据管道进行变换。</w:t>
      </w:r>
    </w:p>
    <w:p>
      <w:pPr>
        <w:spacing w:line="360" w:lineRule="auto" w:after="120"/>
      </w:pPr>
      <w:r>
        <w:rPr>
          <w:rFonts w:ascii="微软雅黑" w:hAnsi="微软雅黑"/>
          <w:sz w:val="21"/>
        </w:rPr>
        <w:t>通过 Foundry 的</w:t>
      </w:r>
      <w:r>
        <w:rPr>
          <w:rFonts w:ascii="微软雅黑" w:hAnsi="微软雅黑"/>
          <w:color w:val="0066CC"/>
          <w:sz w:val="21"/>
          <w:u w:val="single"/>
        </w:rPr>
        <w:t>构建</w:t>
      </w:r>
      <w:r>
        <w:rPr>
          <w:rFonts w:ascii="微软雅黑" w:hAnsi="微软雅黑"/>
          <w:sz w:val="21"/>
        </w:rPr>
        <w:t>系统将 Git 中的逻辑分支与数据集中的数据分支绑定在一起。每个构建都在用户指定的分支上运行，并且构建内的任务仅修改该分支上的数据集。因此，构建中的分支提供了一种隔离不同用户更改的方法。</w:t>
      </w:r>
    </w:p>
    <w:p>
      <w:pPr>
        <w:spacing w:line="360" w:lineRule="auto" w:after="120"/>
      </w:pPr>
      <w:r>
        <w:rPr>
          <w:rFonts w:ascii="微软雅黑" w:hAnsi="微软雅黑"/>
          <w:sz w:val="21"/>
        </w:rPr>
        <w:t>Foundry 构建涉及分支的两个主要功能，如下所述：</w:t>
      </w:r>
    </w:p>
    <w:p>
      <w:pPr>
        <w:pStyle w:val="ListBullet"/>
        <w:spacing w:line="360" w:lineRule="auto" w:after="120"/>
      </w:pPr>
      <w:r>
        <w:rPr>
          <w:rFonts w:ascii="微软雅黑" w:hAnsi="微软雅黑"/>
          <w:sz w:val="21"/>
        </w:rPr>
        <w:t>首先，它们通过从适当的分支收集任务规范或 JobSpecs 来</w:t>
      </w:r>
      <w:r>
        <w:rPr>
          <w:rFonts w:ascii="微软雅黑" w:hAnsi="微软雅黑"/>
          <w:color w:val="0066CC"/>
          <w:sz w:val="21"/>
          <w:u w:val="single"/>
        </w:rPr>
        <w:t>编译构建图</w:t>
      </w:r>
      <w:r>
        <w:rPr>
          <w:rFonts w:ascii="微软雅黑" w:hAnsi="微软雅黑"/>
          <w:sz w:val="21"/>
        </w:rPr>
        <w:t>。</w:t>
      </w:r>
    </w:p>
    <w:p>
      <w:pPr>
        <w:pStyle w:val="ListBullet"/>
        <w:spacing w:line="360" w:lineRule="auto" w:after="120"/>
      </w:pPr>
      <w:r>
        <w:rPr>
          <w:rFonts w:ascii="微软雅黑" w:hAnsi="微软雅黑"/>
          <w:sz w:val="21"/>
        </w:rPr>
        <w:t>其次，它们通过用户定义的构建分支和一系列*回退分支*来</w:t>
      </w:r>
      <w:r>
        <w:rPr>
          <w:rFonts w:ascii="微软雅黑" w:hAnsi="微软雅黑"/>
          <w:color w:val="0066CC"/>
          <w:sz w:val="21"/>
          <w:u w:val="single"/>
        </w:rPr>
        <w:t>解决任务输入和输出</w:t>
      </w:r>
      <w:r>
        <w:rPr>
          <w:rFonts w:ascii="微软雅黑" w:hAnsi="微软雅黑"/>
          <w:sz w:val="21"/>
        </w:rPr>
        <w:t>。</w:t>
      </w:r>
    </w:p>
    <w:p>
      <w:pPr>
        <w:spacing w:line="360" w:lineRule="auto" w:after="120"/>
      </w:pPr>
      <w:r>
        <w:rPr>
          <w:rFonts w:ascii="微软雅黑" w:hAnsi="微软雅黑"/>
          <w:sz w:val="21"/>
        </w:rPr>
        <w:t>#### 任务图编译</w:t>
      </w:r>
    </w:p>
    <w:p>
      <w:pPr>
        <w:spacing w:line="360" w:lineRule="auto" w:after="120"/>
      </w:pPr>
      <w:r>
        <w:rPr>
          <w:rFonts w:ascii="微软雅黑" w:hAnsi="微软雅黑"/>
          <w:sz w:val="21"/>
        </w:rPr>
        <w:t>当您在 Foundry 中的</w:t>
      </w:r>
      <w:r>
        <w:rPr>
          <w:rFonts w:ascii="微软雅黑" w:hAnsi="微软雅黑"/>
          <w:color w:val="0066CC"/>
          <w:sz w:val="21"/>
          <w:u w:val="single"/>
        </w:rPr>
        <w:t>代码库</w:t>
      </w:r>
      <w:r>
        <w:rPr>
          <w:rFonts w:ascii="微软雅黑" w:hAnsi="微软雅黑"/>
          <w:sz w:val="21"/>
        </w:rPr>
        <w:t>的分支中编写数据变换时，提交代码会将 JobSpecs 发布到构建系统的适当分支。当在该分支上运行构建时，构建会遍历您分支上的 JobSpecs 及其依赖关系，以确定应执行哪些逻辑。</w:t>
      </w:r>
    </w:p>
    <w:p>
      <w:pPr>
        <w:spacing w:line="360" w:lineRule="auto" w:after="120"/>
      </w:pPr>
      <w:r>
        <w:rPr>
          <w:rFonts w:ascii="微软雅黑" w:hAnsi="微软雅黑"/>
          <w:sz w:val="21"/>
        </w:rPr>
        <w:t xml:space="preserve">构建通常会指定*分支回退*，以决定在构建分支上没有设置 JobSpec 的情况下从哪个分支检索 JobSpecs。例如，如果您在 </w:t>
      </w:r>
      <w:r>
        <w:rPr>
          <w:rFonts w:ascii="Consolas" w:hAnsi="Consolas"/>
          <w:color w:val="B43C3C"/>
          <w:sz w:val="18"/>
        </w:rPr>
        <w:t>develop</w:t>
      </w:r>
      <w:r>
        <w:rPr>
          <w:rFonts w:ascii="微软雅黑" w:hAnsi="微软雅黑"/>
          <w:sz w:val="21"/>
        </w:rPr>
        <w:t xml:space="preserve"> 上运行一个构建，并有一个 </w:t>
      </w:r>
      <w:r>
        <w:rPr>
          <w:rFonts w:ascii="Consolas" w:hAnsi="Consolas"/>
          <w:color w:val="B43C3C"/>
          <w:sz w:val="18"/>
        </w:rPr>
        <w:t>develop --&gt; master</w:t>
      </w:r>
      <w:r>
        <w:rPr>
          <w:rFonts w:ascii="微软雅黑" w:hAnsi="微软雅黑"/>
          <w:sz w:val="21"/>
        </w:rPr>
        <w:t xml:space="preserve"> 的回退链，如果没有为给定输出数据集发布 JobSpec，则会从 </w:t>
      </w:r>
      <w:r>
        <w:rPr>
          <w:rFonts w:ascii="Consolas" w:hAnsi="Consolas"/>
          <w:color w:val="B43C3C"/>
          <w:sz w:val="18"/>
        </w:rPr>
        <w:t>master</w:t>
      </w:r>
      <w:r>
        <w:rPr>
          <w:rFonts w:ascii="微软雅黑" w:hAnsi="微软雅黑"/>
          <w:sz w:val="21"/>
        </w:rPr>
        <w:t xml:space="preserve"> 分支读取 JobSpec。</w:t>
      </w:r>
    </w:p>
    <w:p>
      <w:pPr>
        <w:spacing w:line="360" w:lineRule="auto" w:after="120"/>
      </w:pPr>
      <w:r>
        <w:rPr>
          <w:rFonts w:ascii="微软雅黑" w:hAnsi="微软雅黑"/>
          <w:sz w:val="21"/>
        </w:rPr>
        <w:t>数据集图标颜色提供有关 JobSpecs 和分支的信息。如果数据集的图标是灰色的，这表示 master 分支上没有 JobSpec 存在。如果数据集图标是蓝色的，则表示 master 分支上定义了 JobSpec。</w:t>
      </w:r>
    </w:p>
    <w:p>
      <w:pPr>
        <w:spacing w:line="360" w:lineRule="auto" w:after="120"/>
      </w:pPr>
      <w:r>
        <w:rPr>
          <w:rFonts w:ascii="微软雅黑" w:hAnsi="微软雅黑"/>
          <w:sz w:val="21"/>
        </w:rPr>
        <w:t>#### 输入和输出解析</w:t>
      </w:r>
    </w:p>
    <w:p>
      <w:pPr>
        <w:spacing w:line="360" w:lineRule="auto" w:after="120"/>
      </w:pPr>
      <w:r>
        <w:rPr>
          <w:rFonts w:ascii="微软雅黑" w:hAnsi="微软雅黑"/>
          <w:sz w:val="21"/>
        </w:rPr>
        <w:t>对于构建中 JobSpecs 所指定为*输出*的所有数据集，将在构建分支上打开一个事务。如果此分支在数据集中不存在，则会从回退链中的第一个分支创建，或者如果不存在回退分支，则作为根分支创建。任务输入尽可能从构建分支读取，否则使用回退链中的第一个现有分支。</w:t>
      </w:r>
    </w:p>
    <w:p>
      <w:pPr>
        <w:pStyle w:val="Heading3"/>
      </w:pPr>
      <w:r>
        <w:rPr>
          <w:rFonts w:ascii="微软雅黑" w:hAnsi="微软雅黑"/>
        </w:rPr>
        <w:t>示例：在分支上构建</w:t>
      </w:r>
    </w:p>
    <w:p>
      <w:pPr>
        <w:spacing w:line="360" w:lineRule="auto" w:after="120"/>
      </w:pPr>
      <w:r>
        <w:rPr>
          <w:rFonts w:ascii="微软雅黑" w:hAnsi="微软雅黑"/>
          <w:sz w:val="21"/>
        </w:rPr>
        <w:t>为了理解分支在构建中的工作方式，让我们逐步了解一个示例工作流程：</w:t>
      </w:r>
    </w:p>
    <w:p>
      <w:pPr>
        <w:pStyle w:val="ListNumber"/>
        <w:spacing w:line="360" w:lineRule="auto" w:after="120"/>
      </w:pPr>
      <w:r>
        <w:rPr>
          <w:rFonts w:ascii="微软雅黑" w:hAnsi="微软雅黑"/>
          <w:sz w:val="21"/>
        </w:rPr>
        <w:t xml:space="preserve">假设数据集 A、B 和 C 存在于 </w:t>
      </w:r>
      <w:r>
        <w:rPr>
          <w:rFonts w:ascii="Consolas" w:hAnsi="Consolas"/>
          <w:color w:val="B43C3C"/>
          <w:sz w:val="18"/>
        </w:rPr>
        <w:t>master</w:t>
      </w:r>
      <w:r>
        <w:rPr>
          <w:rFonts w:ascii="微软雅黑" w:hAnsi="微软雅黑"/>
          <w:sz w:val="21"/>
        </w:rPr>
        <w:t xml:space="preserve"> 分支上。</w:t>
      </w:r>
    </w:p>
    <w:p>
      <w:pPr>
        <w:pStyle w:val="ListNumber"/>
        <w:spacing w:line="360" w:lineRule="auto" w:after="120"/>
      </w:pPr>
      <w:r>
        <w:rPr>
          <w:rFonts w:ascii="微软雅黑" w:hAnsi="微软雅黑"/>
          <w:sz w:val="21"/>
        </w:rPr>
        <w:t xml:space="preserve">数据工程师在他们的代码库中创建一个名为 </w:t>
      </w:r>
      <w:r>
        <w:rPr>
          <w:rFonts w:ascii="Consolas" w:hAnsi="Consolas"/>
          <w:color w:val="B43C3C"/>
          <w:sz w:val="18"/>
        </w:rPr>
        <w:t>feature</w:t>
      </w:r>
      <w:r>
        <w:rPr>
          <w:rFonts w:ascii="微软雅黑" w:hAnsi="微软雅黑"/>
          <w:sz w:val="21"/>
        </w:rPr>
        <w:t xml:space="preserve"> 的分支。这会在底层 Git 仓库中创建一个分支。</w:t>
      </w:r>
    </w:p>
    <w:p>
      <w:pPr>
        <w:pStyle w:val="ListNumber"/>
        <w:spacing w:line="360" w:lineRule="auto" w:after="120"/>
      </w:pPr>
      <w:r>
        <w:rPr>
          <w:rFonts w:ascii="微软雅黑" w:hAnsi="微软雅黑"/>
          <w:sz w:val="21"/>
        </w:rPr>
        <w:t xml:space="preserve">数据工程师修改生成数据集 B 和 C 的代码。当数据工程师提交他们的代码时，库中的检查将 JobSpecs 发布到 </w:t>
      </w:r>
      <w:r>
        <w:rPr>
          <w:rFonts w:ascii="Consolas" w:hAnsi="Consolas"/>
          <w:color w:val="B43C3C"/>
          <w:sz w:val="18"/>
        </w:rPr>
        <w:t>feature</w:t>
      </w:r>
      <w:r>
        <w:rPr>
          <w:rFonts w:ascii="微软雅黑" w:hAnsi="微软雅黑"/>
          <w:sz w:val="21"/>
        </w:rPr>
        <w:t xml:space="preserve"> 分支上的两个数据集中。</w:t>
      </w:r>
    </w:p>
    <w:p>
      <w:pPr>
        <w:pStyle w:val="ListNumber"/>
        <w:spacing w:line="360" w:lineRule="auto" w:after="120"/>
      </w:pPr>
      <w:r>
        <w:rPr>
          <w:rFonts w:ascii="微软雅黑" w:hAnsi="微软雅黑"/>
          <w:sz w:val="21"/>
        </w:rPr>
        <w:t xml:space="preserve">数据工程师在 </w:t>
      </w:r>
      <w:r>
        <w:rPr>
          <w:rFonts w:ascii="Consolas" w:hAnsi="Consolas"/>
          <w:color w:val="B43C3C"/>
          <w:sz w:val="18"/>
        </w:rPr>
        <w:t>feature</w:t>
      </w:r>
      <w:r>
        <w:rPr>
          <w:rFonts w:ascii="微软雅黑" w:hAnsi="微软雅黑"/>
          <w:sz w:val="21"/>
        </w:rPr>
        <w:t xml:space="preserve"> 分支上启动一个构建。由于 </w:t>
      </w:r>
      <w:r>
        <w:rPr>
          <w:rFonts w:ascii="Consolas" w:hAnsi="Consolas"/>
          <w:color w:val="B43C3C"/>
          <w:sz w:val="18"/>
        </w:rPr>
        <w:t>feature</w:t>
      </w:r>
      <w:r>
        <w:rPr>
          <w:rFonts w:ascii="微软雅黑" w:hAnsi="微软雅黑"/>
          <w:sz w:val="21"/>
        </w:rPr>
        <w:t xml:space="preserve"> 分支是在 Git 仓库的 </w:t>
      </w:r>
      <w:r>
        <w:rPr>
          <w:rFonts w:ascii="Consolas" w:hAnsi="Consolas"/>
          <w:color w:val="B43C3C"/>
          <w:sz w:val="18"/>
        </w:rPr>
        <w:t>master</w:t>
      </w:r>
      <w:r>
        <w:rPr>
          <w:rFonts w:ascii="微软雅黑" w:hAnsi="微软雅黑"/>
          <w:sz w:val="21"/>
        </w:rPr>
        <w:t xml:space="preserve"> 分支上创建的，因此此构建的回退链为 </w:t>
      </w:r>
      <w:r>
        <w:rPr>
          <w:rFonts w:ascii="Consolas" w:hAnsi="Consolas"/>
          <w:color w:val="B43C3C"/>
          <w:sz w:val="18"/>
        </w:rPr>
        <w:t>feature --&gt; master</w:t>
      </w:r>
      <w:r>
        <w:rPr>
          <w:rFonts w:ascii="微软雅黑" w:hAnsi="微软雅黑"/>
          <w:sz w:val="21"/>
        </w:rPr>
        <w:t xml:space="preserve">。步骤 (3) 中发布的 JobSpecs 被读取，并启动两个与用户代码对应的任务。在 </w:t>
      </w:r>
      <w:r>
        <w:rPr>
          <w:rFonts w:ascii="Consolas" w:hAnsi="Consolas"/>
          <w:color w:val="B43C3C"/>
          <w:sz w:val="18"/>
        </w:rPr>
        <w:t>feature</w:t>
      </w:r>
      <w:r>
        <w:rPr>
          <w:rFonts w:ascii="微软雅黑" w:hAnsi="微软雅黑"/>
          <w:sz w:val="21"/>
        </w:rPr>
        <w:t xml:space="preserve"> 分支上的数据集 B 和 C 上打开事务。这两个任务按以下顺序串行执行：</w:t>
      </w:r>
    </w:p>
    <w:p>
      <w:pPr>
        <w:pStyle w:val="ListNumber"/>
        <w:spacing w:line="360" w:lineRule="auto" w:after="120"/>
      </w:pPr>
      <w:r>
        <w:rPr>
          <w:rFonts w:ascii="微软雅黑" w:hAnsi="微软雅黑"/>
          <w:sz w:val="21"/>
        </w:rPr>
        <w:t xml:space="preserve">*任务 1*：由于分支回退，使用数据集 A 的 </w:t>
      </w:r>
      <w:r>
        <w:rPr>
          <w:rFonts w:ascii="Consolas" w:hAnsi="Consolas"/>
          <w:color w:val="B43C3C"/>
          <w:sz w:val="18"/>
        </w:rPr>
        <w:t>master</w:t>
      </w:r>
      <w:r>
        <w:rPr>
          <w:rFonts w:ascii="微软雅黑" w:hAnsi="微软雅黑"/>
          <w:sz w:val="21"/>
        </w:rPr>
        <w:t xml:space="preserve"> 分支作为输入。计算生成新数据，并将其写入当前打开的事务中的数据集 B。事务被提交。</w:t>
      </w:r>
    </w:p>
    <w:p>
      <w:pPr>
        <w:pStyle w:val="ListNumber"/>
        <w:spacing w:line="360" w:lineRule="auto" w:after="120"/>
      </w:pPr>
      <w:r>
        <w:rPr>
          <w:rFonts w:ascii="微软雅黑" w:hAnsi="微软雅黑"/>
          <w:sz w:val="21"/>
        </w:rPr>
        <w:t xml:space="preserve">*任务 2*：接下来开始此任务。使用数据集 B 的 </w:t>
      </w:r>
      <w:r>
        <w:rPr>
          <w:rFonts w:ascii="Consolas" w:hAnsi="Consolas"/>
          <w:color w:val="B43C3C"/>
          <w:sz w:val="18"/>
        </w:rPr>
        <w:t>feature</w:t>
      </w:r>
      <w:r>
        <w:rPr>
          <w:rFonts w:ascii="微软雅黑" w:hAnsi="微软雅黑"/>
          <w:sz w:val="21"/>
        </w:rPr>
        <w:t xml:space="preserve"> 分支作为输入。计算生成新数据，并将其写入当前打开的事务中的数据集 C。事务被提交。</w:t>
      </w:r>
    </w:p>
    <w:p>
      <w:pPr>
        <w:pStyle w:val="ListNumber"/>
        <w:spacing w:line="360" w:lineRule="auto" w:after="120"/>
      </w:pPr>
      <w:r>
        <w:rPr>
          <w:rFonts w:ascii="微软雅黑" w:hAnsi="微软雅黑"/>
          <w:sz w:val="21"/>
        </w:rPr>
        <w:t>最后，由于构建中的所有任务都成功，构建成功。</w:t>
      </w:r>
    </w:p>
    <w:p>
      <w:pPr>
        <w:spacing w:line="360" w:lineRule="auto" w:after="120"/>
      </w:pPr>
      <w:r>
        <w:rPr>
          <w:rFonts w:ascii="微软雅黑" w:hAnsi="微软雅黑"/>
          <w:sz w:val="21"/>
        </w:rPr>
        <w:t xml:space="preserve">在修改代码、提交和运行构建后，数据工程师在数据集 B 和 C 的 </w:t>
      </w:r>
      <w:r>
        <w:rPr>
          <w:rFonts w:ascii="Consolas" w:hAnsi="Consolas"/>
          <w:color w:val="B43C3C"/>
          <w:sz w:val="18"/>
        </w:rPr>
        <w:t>feature</w:t>
      </w:r>
      <w:r>
        <w:rPr>
          <w:rFonts w:ascii="微软雅黑" w:hAnsi="微软雅黑"/>
          <w:sz w:val="21"/>
        </w:rPr>
        <w:t xml:space="preserve"> 分支上生成了新数据。注意，数据集 A 在此过程中完全不受影响，数据集 B 和 C 的 </w:t>
      </w:r>
      <w:r>
        <w:rPr>
          <w:rFonts w:ascii="Consolas" w:hAnsi="Consolas"/>
          <w:color w:val="B43C3C"/>
          <w:sz w:val="18"/>
        </w:rPr>
        <w:t>master</w:t>
      </w:r>
      <w:r>
        <w:rPr>
          <w:rFonts w:ascii="微软雅黑" w:hAnsi="微软雅黑"/>
          <w:sz w:val="21"/>
        </w:rPr>
        <w:t xml:space="preserve"> 分支也未更改。</w:t>
      </w:r>
    </w:p>
    <w:p>
      <w:pPr>
        <w:pStyle w:val="Heading3"/>
      </w:pPr>
      <w:r>
        <w:rPr>
          <w:rFonts w:ascii="微软雅黑" w:hAnsi="微软雅黑"/>
        </w:rPr>
        <w:t>构建分支保证</w:t>
      </w:r>
    </w:p>
    <w:p>
      <w:pPr>
        <w:spacing w:line="360" w:lineRule="auto" w:after="120"/>
      </w:pPr>
      <w:r>
        <w:rPr>
          <w:rFonts w:ascii="微软雅黑" w:hAnsi="微软雅黑"/>
          <w:sz w:val="21"/>
        </w:rPr>
        <w:t>Foundry 中的构建为分支提供以下保证：</w:t>
      </w:r>
    </w:p>
    <w:p>
      <w:pPr>
        <w:pStyle w:val="ListBullet"/>
        <w:spacing w:line="360" w:lineRule="auto" w:after="120"/>
      </w:pPr>
      <w:r>
        <w:rPr>
          <w:rFonts w:ascii="微软雅黑" w:hAnsi="微软雅黑"/>
          <w:sz w:val="21"/>
        </w:rPr>
        <w:t>构建解析仅在指定的分支回退序列与所涉及数据集中的分支祖先兼容时才会成功。</w:t>
      </w:r>
    </w:p>
    <w:p>
      <w:pPr>
        <w:pStyle w:val="ListBullet"/>
        <w:spacing w:line="360" w:lineRule="auto" w:after="120"/>
      </w:pPr>
      <w:r>
        <w:rPr>
          <w:rFonts w:ascii="微软雅黑" w:hAnsi="微软雅黑"/>
          <w:sz w:val="21"/>
        </w:rPr>
        <w:t>构建不会修改除构建分支以外的任何数据集分支。</w:t>
      </w:r>
    </w:p>
    <w:p>
      <w:pPr>
        <w:pStyle w:val="ListBullet"/>
        <w:spacing w:line="360" w:lineRule="auto" w:after="120"/>
      </w:pPr>
      <w:r>
        <w:rPr>
          <w:rFonts w:ascii="微软雅黑" w:hAnsi="微软雅黑"/>
          <w:sz w:val="21"/>
        </w:rPr>
        <w:t>构建不会在输入数据集上创建分支。</w:t>
      </w:r>
    </w:p>
    <w:p>
      <w:r>
        <w:br w:type="page"/>
      </w:r>
    </w:p>
    <w:p>
      <w:pPr>
        <w:pStyle w:val="Heading1"/>
      </w:pPr>
      <w:r>
        <w:rPr>
          <w:rFonts w:ascii="微软雅黑" w:hAnsi="微软雅黑"/>
        </w:rPr>
        <w:t>搭建</w:t>
      </w:r>
    </w:p>
    <w:p>
      <w:pPr>
        <w:spacing w:line="360" w:lineRule="auto" w:after="120"/>
      </w:pPr>
      <w:r>
        <w:rPr>
          <w:rFonts w:ascii="微软雅黑" w:hAnsi="微软雅黑"/>
          <w:sz w:val="21"/>
        </w:rPr>
        <w:t># 搭建</w:t>
      </w:r>
    </w:p>
    <w:p>
      <w:r>
        <w:rPr>
          <w:rFonts w:ascii="微软雅黑" w:hAnsi="微软雅黑"/>
          <w:b/>
        </w:rPr>
        <w:t>搭建</w:t>
      </w:r>
      <w:r>
        <w:rPr>
          <w:rFonts w:ascii="微软雅黑" w:hAnsi="微软雅黑"/>
        </w:rPr>
        <w:t>：是Foundry中用于计算[数据集](/zh/foundry/data-integration/datasets/)新版本的机制。搭建提供计算的编排和协调，确保读取适当的输入数据，并将输出数据写入适当的位置。</w:t>
      </w:r>
    </w:p>
    <w:p>
      <w:pPr>
        <w:spacing w:line="360" w:lineRule="auto" w:after="120"/>
      </w:pPr>
      <w:r>
        <w:rPr>
          <w:rFonts w:ascii="微软雅黑" w:hAnsi="微软雅黑"/>
          <w:sz w:val="21"/>
        </w:rPr>
        <w:t>一个搭建由多个</w:t>
      </w:r>
      <w:r>
        <w:rPr>
          <w:rFonts w:ascii="微软雅黑" w:hAnsi="微软雅黑"/>
          <w:b/>
          <w:sz w:val="21"/>
        </w:rPr>
        <w:t>任务</w:t>
      </w:r>
      <w:r>
        <w:rPr>
          <w:rFonts w:ascii="微软雅黑" w:hAnsi="微软雅黑"/>
          <w:sz w:val="21"/>
        </w:rPr>
        <w:t>组成，每个任务是一个由共享逻辑定义的工作单元，计算一个或多个输出数据集。请注意，如果一个任务定义了多个输出数据集，它们将始终一起更新，无法在不运行完整任务的情况下仅搭建某些数据集。任务规范或</w:t>
      </w:r>
      <w:r>
        <w:rPr>
          <w:rFonts w:ascii="微软雅黑" w:hAnsi="微软雅黑"/>
          <w:b/>
          <w:sz w:val="21"/>
        </w:rPr>
        <w:t>JobSpec</w:t>
      </w:r>
      <w:r>
        <w:rPr>
          <w:rFonts w:ascii="微软雅黑" w:hAnsi="微软雅黑"/>
          <w:sz w:val="21"/>
        </w:rPr>
        <w:t>是关于如何构建任务的定义。当Foundry中的数据变换逻辑发生更改时，例如当数据工程师在</w:t>
      </w:r>
      <w:r>
        <w:rPr>
          <w:rFonts w:ascii="微软雅黑" w:hAnsi="微软雅黑"/>
          <w:color w:val="0066CC"/>
          <w:sz w:val="21"/>
          <w:u w:val="single"/>
        </w:rPr>
        <w:t>代码仓库</w:t>
      </w:r>
      <w:r>
        <w:rPr>
          <w:rFonts w:ascii="微软雅黑" w:hAnsi="微软雅黑"/>
          <w:sz w:val="21"/>
        </w:rPr>
        <w:t>中提交新的变换代码时，会发布JobSpecs。</w:t>
      </w:r>
    </w:p>
    <w:p>
      <w:pPr>
        <w:spacing w:line="360" w:lineRule="auto" w:after="120"/>
      </w:pPr>
      <w:r>
        <w:rPr>
          <w:rFonts w:ascii="微软雅黑" w:hAnsi="微软雅黑"/>
          <w:sz w:val="21"/>
        </w:rPr>
        <w:t>运行一次搭建会导致一组输出数据集的一次性计算。为了保持数据在系统中的流动，使用</w:t>
      </w:r>
      <w:r>
        <w:rPr>
          <w:rFonts w:ascii="微软雅黑" w:hAnsi="微软雅黑"/>
          <w:color w:val="0066CC"/>
          <w:sz w:val="21"/>
          <w:u w:val="single"/>
        </w:rPr>
        <w:t>调度</w:t>
      </w:r>
      <w:r>
        <w:rPr>
          <w:rFonts w:ascii="微软雅黑" w:hAnsi="微软雅黑"/>
          <w:sz w:val="21"/>
        </w:rPr>
        <w:t>来随时间运行搭建。</w:t>
      </w:r>
    </w:p>
    <w:p>
      <w:pPr>
        <w:spacing w:line="360" w:lineRule="auto" w:after="120"/>
      </w:pPr>
      <w:r>
        <w:rPr>
          <w:rFonts w:ascii="微软雅黑" w:hAnsi="微软雅黑"/>
          <w:sz w:val="21"/>
        </w:rPr>
        <w:t>您可以使用</w:t>
      </w:r>
      <w:r>
        <w:rPr>
          <w:rFonts w:ascii="微软雅黑" w:hAnsi="微软雅黑"/>
          <w:color w:val="0066CC"/>
          <w:sz w:val="21"/>
          <w:u w:val="single"/>
        </w:rPr>
        <w:t>搭建应用程序</w:t>
      </w:r>
      <w:r>
        <w:rPr>
          <w:rFonts w:ascii="微软雅黑" w:hAnsi="微软雅黑"/>
          <w:sz w:val="21"/>
        </w:rPr>
        <w:t>在Foundry中探索搭建。</w:t>
      </w:r>
    </w:p>
    <w:p>
      <w:pPr>
        <w:pStyle w:val="Heading2"/>
      </w:pPr>
      <w:r>
        <w:rPr>
          <w:rFonts w:ascii="微软雅黑" w:hAnsi="微软雅黑"/>
        </w:rPr>
        <w:t>任务和JobSpecs</w:t>
      </w:r>
    </w:p>
    <w:p>
      <w:pPr>
        <w:spacing w:line="360" w:lineRule="auto" w:after="120"/>
      </w:pPr>
      <w:r>
        <w:rPr>
          <w:rFonts w:ascii="微软雅黑" w:hAnsi="微软雅黑"/>
          <w:sz w:val="21"/>
        </w:rPr>
        <w:t>一个*任务*封装了从一组输入数据集的数据中计算一个或多个*输出数据集*的新版本。*JobSpec*通过详细说明输入数据集依赖关系和应作为任务的一部分执行的逻辑来定义如何构建任务。</w:t>
      </w:r>
    </w:p>
    <w:p>
      <w:pPr>
        <w:spacing w:line="360" w:lineRule="auto" w:after="120"/>
      </w:pPr>
      <w:r>
        <w:rPr>
          <w:rFonts w:ascii="微软雅黑" w:hAnsi="微软雅黑"/>
          <w:sz w:val="21"/>
        </w:rPr>
        <w:t>输入数据集依赖关系被声明为一组*InputSpecs*，每个InputSpec指定一个特定的输入数据集。InputSpecs指定要从数据集中读取的视图数据子集。</w:t>
      </w:r>
    </w:p>
    <w:p>
      <w:pPr>
        <w:spacing w:line="360" w:lineRule="auto" w:after="120"/>
      </w:pPr>
      <w:r>
        <w:rPr>
          <w:rFonts w:ascii="微软雅黑" w:hAnsi="微软雅黑"/>
          <w:sz w:val="21"/>
        </w:rPr>
        <w:t>在Foundry中，可以表示为任务的逻辑类型包括但不限于：</w:t>
      </w:r>
    </w:p>
    <w:p>
      <w:pPr>
        <w:pStyle w:val="ListBullet"/>
        <w:spacing w:line="360" w:lineRule="auto" w:after="120"/>
      </w:pPr>
      <w:r>
        <w:rPr>
          <w:rFonts w:ascii="微软雅黑" w:hAnsi="微软雅黑"/>
          <w:sz w:val="21"/>
        </w:rPr>
        <w:t>数据连接</w:t>
      </w:r>
      <w:r>
        <w:rPr>
          <w:rFonts w:ascii="微软雅黑" w:hAnsi="微软雅黑"/>
          <w:color w:val="0066CC"/>
          <w:sz w:val="21"/>
          <w:u w:val="single"/>
        </w:rPr>
        <w:t>同步</w:t>
      </w:r>
      <w:r>
        <w:rPr>
          <w:rFonts w:ascii="微软雅黑" w:hAnsi="微软雅黑"/>
          <w:sz w:val="21"/>
        </w:rPr>
        <w:t>定义了如何从外部数据源读取数据。</w:t>
      </w:r>
    </w:p>
    <w:p>
      <w:pPr>
        <w:pStyle w:val="ListBullet"/>
        <w:spacing w:line="360" w:lineRule="auto" w:after="120"/>
      </w:pPr>
      <w:r>
        <w:rPr>
          <w:rFonts w:ascii="微软雅黑" w:hAnsi="微软雅黑"/>
          <w:sz w:val="21"/>
        </w:rPr>
        <w:t>在</w:t>
      </w:r>
      <w:r>
        <w:rPr>
          <w:rFonts w:ascii="微软雅黑" w:hAnsi="微软雅黑"/>
          <w:color w:val="0066CC"/>
          <w:sz w:val="21"/>
          <w:u w:val="single"/>
        </w:rPr>
        <w:t>代码仓库</w:t>
      </w:r>
      <w:r>
        <w:rPr>
          <w:rFonts w:ascii="微软雅黑" w:hAnsi="微软雅黑"/>
          <w:sz w:val="21"/>
        </w:rPr>
        <w:t>中编写的变换允许您编写变换数据集的代码。</w:t>
      </w:r>
    </w:p>
    <w:p>
      <w:pPr>
        <w:pStyle w:val="ListBullet"/>
        <w:spacing w:line="360" w:lineRule="auto" w:after="120"/>
      </w:pPr>
      <w:r>
        <w:rPr>
          <w:rFonts w:ascii="微软雅黑" w:hAnsi="微软雅黑"/>
          <w:color w:val="0066CC"/>
          <w:sz w:val="21"/>
          <w:u w:val="single"/>
        </w:rPr>
        <w:t>健康检查</w:t>
      </w:r>
      <w:r>
        <w:rPr>
          <w:rFonts w:ascii="微软雅黑" w:hAnsi="微软雅黑"/>
          <w:sz w:val="21"/>
        </w:rPr>
        <w:t>被定义为在数据集上生成的任务，以验证数据集的特征。</w:t>
      </w:r>
    </w:p>
    <w:p>
      <w:pPr>
        <w:pStyle w:val="ListBullet"/>
        <w:spacing w:line="360" w:lineRule="auto" w:after="120"/>
      </w:pPr>
      <w:r>
        <w:rPr>
          <w:rFonts w:ascii="微软雅黑" w:hAnsi="微软雅黑"/>
          <w:color w:val="0066CC"/>
          <w:sz w:val="21"/>
          <w:u w:val="single"/>
        </w:rPr>
        <w:t>分析应用</w:t>
      </w:r>
      <w:r>
        <w:rPr>
          <w:rFonts w:ascii="微软雅黑" w:hAnsi="微软雅黑"/>
          <w:sz w:val="21"/>
        </w:rPr>
        <w:t>支持定义变换数据集的逻辑。</w:t>
      </w:r>
    </w:p>
    <w:p>
      <w:pPr>
        <w:pStyle w:val="ListBullet"/>
        <w:spacing w:line="360" w:lineRule="auto" w:after="120"/>
      </w:pPr>
      <w:r>
        <w:rPr>
          <w:rFonts w:ascii="微软雅黑" w:hAnsi="微软雅黑"/>
          <w:sz w:val="21"/>
        </w:rPr>
        <w:t>一个</w:t>
      </w:r>
      <w:r>
        <w:rPr>
          <w:rFonts w:ascii="微软雅黑" w:hAnsi="微软雅黑"/>
          <w:color w:val="0066CC"/>
          <w:sz w:val="21"/>
          <w:u w:val="single"/>
        </w:rPr>
        <w:t>导出</w:t>
      </w:r>
      <w:r>
        <w:rPr>
          <w:rFonts w:ascii="微软雅黑" w:hAnsi="微软雅黑"/>
          <w:sz w:val="21"/>
        </w:rPr>
        <w:t>定义了如何将输入数据发送到Foundry之外。</w:t>
      </w:r>
    </w:p>
    <w:p>
      <w:pPr>
        <w:pStyle w:val="Heading3"/>
      </w:pPr>
      <w:r>
        <w:rPr>
          <w:rFonts w:ascii="微软雅黑" w:hAnsi="微软雅黑"/>
        </w:rPr>
        <w:t>任务状态</w:t>
      </w:r>
    </w:p>
    <w:p>
      <w:pPr>
        <w:spacing w:line="360" w:lineRule="auto" w:after="120"/>
      </w:pPr>
      <w:r>
        <w:rPr>
          <w:rFonts w:ascii="微软雅黑" w:hAnsi="微软雅黑"/>
          <w:sz w:val="21"/>
        </w:rPr>
        <w:t>在任何给定时间，任务总是在以下状态之一：</w:t>
      </w:r>
    </w:p>
    <w:p>
      <w:pPr>
        <w:pStyle w:val="ListBullet"/>
        <w:spacing w:line="360" w:lineRule="auto" w:after="120"/>
      </w:pPr>
      <w:r>
        <w:rPr>
          <w:rFonts w:ascii="Consolas" w:hAnsi="Consolas"/>
          <w:color w:val="B43C3C"/>
          <w:sz w:val="18"/>
        </w:rPr>
        <w:t>WAITING</w:t>
      </w:r>
      <w:r>
        <w:rPr>
          <w:rFonts w:ascii="微软雅黑" w:hAnsi="微软雅黑"/>
          <w:sz w:val="21"/>
        </w:rPr>
        <w:t>：任务的初始状态；任务正在等待其依赖的任务完成且尚未被调用。</w:t>
      </w:r>
    </w:p>
    <w:p>
      <w:pPr>
        <w:pStyle w:val="ListBullet"/>
        <w:spacing w:line="360" w:lineRule="auto" w:after="120"/>
      </w:pPr>
      <w:r>
        <w:rPr>
          <w:rFonts w:ascii="Consolas" w:hAnsi="Consolas"/>
          <w:color w:val="B43C3C"/>
          <w:sz w:val="18"/>
        </w:rPr>
        <w:t>RUN_PENDING</w:t>
      </w:r>
      <w:r>
        <w:rPr>
          <w:rFonts w:ascii="微软雅黑" w:hAnsi="微软雅黑"/>
          <w:sz w:val="21"/>
        </w:rPr>
        <w:t>：任务正在等待运行，但其执行环境尚未确认状态。</w:t>
      </w:r>
    </w:p>
    <w:p>
      <w:pPr>
        <w:pStyle w:val="ListBullet"/>
        <w:spacing w:line="360" w:lineRule="auto" w:after="120"/>
      </w:pPr>
      <w:r>
        <w:rPr>
          <w:rFonts w:ascii="Consolas" w:hAnsi="Consolas"/>
          <w:color w:val="B43C3C"/>
          <w:sz w:val="18"/>
        </w:rPr>
        <w:t>RUNNING</w:t>
      </w:r>
      <w:r>
        <w:rPr>
          <w:rFonts w:ascii="微软雅黑" w:hAnsi="微软雅黑"/>
          <w:sz w:val="21"/>
        </w:rPr>
        <w:t>：任务已被调用并正在计算中。</w:t>
      </w:r>
    </w:p>
    <w:p>
      <w:pPr>
        <w:pStyle w:val="ListBullet"/>
        <w:spacing w:line="360" w:lineRule="auto" w:after="120"/>
      </w:pPr>
      <w:r>
        <w:rPr>
          <w:rFonts w:ascii="Consolas" w:hAnsi="Consolas"/>
          <w:color w:val="B43C3C"/>
          <w:sz w:val="18"/>
        </w:rPr>
        <w:t>ABORT_PENDING</w:t>
      </w:r>
      <w:r>
        <w:rPr>
          <w:rFonts w:ascii="微软雅黑" w:hAnsi="微软雅黑"/>
          <w:sz w:val="21"/>
        </w:rPr>
        <w:t>：任务已被中止，但其执行环境尚未确认中止状态。</w:t>
      </w:r>
    </w:p>
    <w:p>
      <w:pPr>
        <w:pStyle w:val="ListBullet"/>
        <w:spacing w:line="360" w:lineRule="auto" w:after="120"/>
      </w:pPr>
      <w:r>
        <w:rPr>
          <w:rFonts w:ascii="Consolas" w:hAnsi="Consolas"/>
          <w:color w:val="B43C3C"/>
          <w:sz w:val="18"/>
        </w:rPr>
        <w:t>ABORTED</w:t>
      </w:r>
      <w:r>
        <w:rPr>
          <w:rFonts w:ascii="微软雅黑" w:hAnsi="微软雅黑"/>
          <w:sz w:val="21"/>
        </w:rPr>
        <w:t>：任务被用户请求中止或由于依赖任务失败而中止。</w:t>
      </w:r>
    </w:p>
    <w:p>
      <w:pPr>
        <w:pStyle w:val="ListBullet"/>
        <w:spacing w:line="360" w:lineRule="auto" w:after="120"/>
      </w:pPr>
      <w:r>
        <w:rPr>
          <w:rFonts w:ascii="Consolas" w:hAnsi="Consolas"/>
          <w:color w:val="B43C3C"/>
          <w:sz w:val="18"/>
        </w:rPr>
        <w:t>FAILED</w:t>
      </w:r>
      <w:r>
        <w:rPr>
          <w:rFonts w:ascii="微软雅黑" w:hAnsi="微软雅黑"/>
          <w:sz w:val="21"/>
        </w:rPr>
        <w:t>：任务被调用，但计算失败。</w:t>
      </w:r>
    </w:p>
    <w:p>
      <w:pPr>
        <w:pStyle w:val="ListBullet"/>
        <w:spacing w:line="360" w:lineRule="auto" w:after="120"/>
      </w:pPr>
      <w:r>
        <w:rPr>
          <w:rFonts w:ascii="Consolas" w:hAnsi="Consolas"/>
          <w:color w:val="B43C3C"/>
          <w:sz w:val="18"/>
        </w:rPr>
        <w:t>COMPLETED</w:t>
      </w:r>
      <w:r>
        <w:rPr>
          <w:rFonts w:ascii="微软雅黑" w:hAnsi="微软雅黑"/>
          <w:sz w:val="21"/>
        </w:rPr>
        <w:t>：任务被调用，计算成功完成。</w:t>
      </w:r>
    </w:p>
    <w:p>
      <w:pPr>
        <w:pStyle w:val="Heading2"/>
      </w:pPr>
      <w:r>
        <w:rPr>
          <w:rFonts w:ascii="微软雅黑" w:hAnsi="微软雅黑"/>
        </w:rPr>
        <w:t>搭建生命周期</w:t>
      </w:r>
    </w:p>
    <w:p>
      <w:pPr>
        <w:spacing w:line="360" w:lineRule="auto" w:after="120"/>
      </w:pPr>
      <w:r>
        <w:rPr>
          <w:rFonts w:ascii="微软雅黑" w:hAnsi="微软雅黑"/>
          <w:sz w:val="21"/>
        </w:rPr>
        <w:t>当一个搭建运行时，会执行几个步骤来验证提交的搭建，确保数据一致性，并仅运行必要的任务以生成新输出。</w:t>
      </w:r>
    </w:p>
    <w:p>
      <w:pPr>
        <w:pStyle w:val="Heading3"/>
      </w:pPr>
      <w:r>
        <w:rPr>
          <w:rFonts w:ascii="微软雅黑" w:hAnsi="微软雅黑"/>
        </w:rPr>
        <w:t>搭建解析</w:t>
      </w:r>
    </w:p>
    <w:p>
      <w:pPr>
        <w:spacing w:line="360" w:lineRule="auto" w:after="120"/>
      </w:pPr>
      <w:r>
        <w:rPr>
          <w:rFonts w:ascii="微软雅黑" w:hAnsi="微软雅黑"/>
          <w:sz w:val="21"/>
        </w:rPr>
        <w:t>作为第一步，搭建：</w:t>
      </w:r>
    </w:p>
    <w:p>
      <w:pPr>
        <w:pStyle w:val="ListBullet"/>
        <w:spacing w:line="360" w:lineRule="auto" w:after="120"/>
      </w:pPr>
      <w:r>
        <w:rPr>
          <w:rFonts w:ascii="微软雅黑" w:hAnsi="微软雅黑"/>
          <w:sz w:val="21"/>
        </w:rPr>
        <w:t>检测指定输入数据集中的循环，如果存在循环则失败搭建。</w:t>
      </w:r>
    </w:p>
    <w:p>
      <w:pPr>
        <w:pStyle w:val="ListBullet"/>
        <w:spacing w:line="360" w:lineRule="auto" w:after="120"/>
      </w:pPr>
      <w:r>
        <w:rPr>
          <w:rFonts w:ascii="微软雅黑" w:hAnsi="微软雅黑"/>
          <w:sz w:val="21"/>
        </w:rPr>
        <w:t>验证所有输入数据集是否存在并识别每个输入数据集的适当模式。</w:t>
      </w:r>
    </w:p>
    <w:p>
      <w:pPr>
        <w:pStyle w:val="ListBullet"/>
        <w:spacing w:line="360" w:lineRule="auto" w:after="120"/>
      </w:pPr>
      <w:r>
        <w:rPr>
          <w:rFonts w:ascii="微软雅黑" w:hAnsi="微软雅黑"/>
          <w:sz w:val="21"/>
        </w:rPr>
        <w:t>在每个输出数据集上打开新的</w:t>
      </w:r>
      <w:r>
        <w:rPr>
          <w:rFonts w:ascii="微软雅黑" w:hAnsi="微软雅黑"/>
          <w:color w:val="0066CC"/>
          <w:sz w:val="21"/>
          <w:u w:val="single"/>
        </w:rPr>
        <w:t>事务</w:t>
      </w:r>
      <w:r>
        <w:rPr>
          <w:rFonts w:ascii="微软雅黑" w:hAnsi="微软雅黑"/>
          <w:sz w:val="21"/>
        </w:rPr>
        <w:t>，以确保只有活动的搭建可以写入输出数据集。这称为*搭建锁定*。</w:t>
      </w:r>
    </w:p>
    <w:p>
      <w:pPr>
        <w:pStyle w:val="ListBullet"/>
        <w:spacing w:line="360" w:lineRule="auto" w:after="120"/>
      </w:pPr>
      <w:r>
        <w:rPr>
          <w:rFonts w:ascii="微软雅黑" w:hAnsi="微软雅黑"/>
          <w:sz w:val="21"/>
        </w:rPr>
        <w:t>检测是否有其他搭建正在进行中，会更改搭建的输入数据集。如果是这样，搭建可能会*排队*等待其他搭建完成。</w:t>
      </w:r>
    </w:p>
    <w:p>
      <w:pPr>
        <w:pStyle w:val="Heading3"/>
      </w:pPr>
      <w:r>
        <w:rPr>
          <w:rFonts w:ascii="微软雅黑" w:hAnsi="微软雅黑"/>
        </w:rPr>
        <w:t>任务执行</w:t>
      </w:r>
    </w:p>
    <w:p>
      <w:pPr>
        <w:spacing w:line="360" w:lineRule="auto" w:after="120"/>
      </w:pPr>
      <w:r>
        <w:rPr>
          <w:rFonts w:ascii="微软雅黑" w:hAnsi="微软雅黑"/>
          <w:sz w:val="21"/>
        </w:rPr>
        <w:t>完成上述步骤后，搭建中的任务将被执行。相互不依赖的任务将并行运行。当任务通过</w:t>
      </w:r>
      <w:r>
        <w:rPr>
          <w:rFonts w:ascii="微软雅黑" w:hAnsi="微软雅黑"/>
          <w:color w:val="0066CC"/>
          <w:sz w:val="21"/>
          <w:u w:val="single"/>
        </w:rPr>
        <w:t>任务状态</w:t>
      </w:r>
      <w:r>
        <w:rPr>
          <w:rFonts w:ascii="微软雅黑" w:hAnsi="微软雅黑"/>
          <w:sz w:val="21"/>
        </w:rPr>
        <w:t>时，整个搭建的状态将相应更新：</w:t>
      </w:r>
    </w:p>
    <w:p>
      <w:pPr>
        <w:pStyle w:val="ListBullet"/>
        <w:spacing w:line="360" w:lineRule="auto" w:after="120"/>
      </w:pPr>
      <w:r>
        <w:rPr>
          <w:rFonts w:ascii="微软雅黑" w:hAnsi="微软雅黑"/>
          <w:sz w:val="21"/>
        </w:rPr>
        <w:t>如果搭建中的某个任务失败，则该搭建中所有直接依赖的任务和输出数据集上的事务将被终止。非必填地，可以将搭建配置为同时中止所有非依赖任务。</w:t>
      </w:r>
    </w:p>
    <w:p>
      <w:pPr>
        <w:pStyle w:val="ListBullet"/>
        <w:spacing w:line="360" w:lineRule="auto" w:after="120"/>
      </w:pPr>
      <w:r>
        <w:rPr>
          <w:rFonts w:ascii="微软雅黑" w:hAnsi="微软雅黑"/>
          <w:sz w:val="21"/>
        </w:rPr>
        <w:t>如果搭建中的所有任务都已完成，则认为搭建已完成。</w:t>
      </w:r>
    </w:p>
    <w:p>
      <w:pPr>
        <w:spacing w:line="360" w:lineRule="auto" w:after="120"/>
      </w:pPr>
      <w:r>
        <w:rPr>
          <w:rFonts w:ascii="微软雅黑" w:hAnsi="微软雅黑"/>
          <w:sz w:val="21"/>
        </w:rPr>
        <w:t>请注意，如果搭建中的某个任务失败，先前完成的任务可能仍然已将数据写入其输出数据集。</w:t>
      </w:r>
    </w:p>
    <w:p>
      <w:pPr>
        <w:pStyle w:val="Heading3"/>
      </w:pPr>
      <w:r>
        <w:rPr>
          <w:rFonts w:ascii="微软雅黑" w:hAnsi="微软雅黑"/>
        </w:rPr>
        <w:t>陈旧性</w:t>
      </w:r>
    </w:p>
    <w:p>
      <w:pPr>
        <w:spacing w:line="360" w:lineRule="auto" w:after="120"/>
      </w:pPr>
      <w:r>
        <w:rPr>
          <w:rFonts w:ascii="微软雅黑" w:hAnsi="微软雅黑"/>
          <w:sz w:val="21"/>
        </w:rPr>
        <w:t>如果</w:t>
      </w:r>
      <w:r>
        <w:rPr>
          <w:rFonts w:ascii="微软雅黑" w:hAnsi="微软雅黑"/>
          <w:color w:val="0066CC"/>
          <w:sz w:val="21"/>
          <w:u w:val="single"/>
        </w:rPr>
        <w:t>搭建解析</w:t>
      </w:r>
      <w:r>
        <w:rPr>
          <w:rFonts w:ascii="微软雅黑" w:hAnsi="微软雅黑"/>
          <w:sz w:val="21"/>
        </w:rPr>
        <w:t>步骤确定输入数据集和JobSpec中指定的逻辑自上次构建输出数据集以来没有更改，则输出数据集被认为是*新鲜的*。如果输出数据集是新鲜的，则不会在后续搭建中重新计算。</w:t>
      </w:r>
    </w:p>
    <w:p>
      <w:pPr>
        <w:spacing w:line="360" w:lineRule="auto" w:after="120"/>
      </w:pPr>
      <w:r>
        <w:rPr>
          <w:rFonts w:ascii="微软雅黑" w:hAnsi="微软雅黑"/>
          <w:sz w:val="21"/>
        </w:rPr>
        <w:t>要覆盖搭建系统的默认陈旧性行为，您可以运行一个</w:t>
      </w:r>
      <w:r>
        <w:rPr>
          <w:rFonts w:ascii="微软雅黑" w:hAnsi="微软雅黑"/>
          <w:b/>
          <w:sz w:val="21"/>
        </w:rPr>
        <w:t>强制搭建</w:t>
      </w:r>
      <w:r>
        <w:rPr>
          <w:rFonts w:ascii="微软雅黑" w:hAnsi="微软雅黑"/>
          <w:sz w:val="21"/>
        </w:rPr>
        <w:t>，无论数据集是否已更新，都会重新计算所有数据集。</w:t>
      </w:r>
    </w:p>
    <w:p>
      <w:pPr>
        <w:pStyle w:val="Heading2"/>
      </w:pPr>
      <w:r>
        <w:rPr>
          <w:rFonts w:ascii="微软雅黑" w:hAnsi="微软雅黑"/>
        </w:rPr>
        <w:t>分支</w:t>
      </w:r>
    </w:p>
    <w:p>
      <w:pPr>
        <w:spacing w:line="360" w:lineRule="auto" w:after="120"/>
      </w:pPr>
      <w:r>
        <w:rPr>
          <w:rFonts w:ascii="微软雅黑" w:hAnsi="微软雅黑"/>
          <w:sz w:val="21"/>
        </w:rPr>
        <w:t>Foundry中的搭建实现了</w:t>
      </w:r>
      <w:r>
        <w:rPr>
          <w:rFonts w:ascii="微软雅黑" w:hAnsi="微软雅黑"/>
          <w:b/>
          <w:sz w:val="21"/>
        </w:rPr>
        <w:t>分支</w:t>
      </w:r>
      <w:r>
        <w:rPr>
          <w:rFonts w:ascii="微软雅黑" w:hAnsi="微软雅黑"/>
          <w:sz w:val="21"/>
        </w:rPr>
        <w:t>以支持数据管道上的协作工作流。要了解有关分支的更多信息：</w:t>
      </w:r>
    </w:p>
    <w:p>
      <w:pPr>
        <w:pStyle w:val="ListBullet"/>
        <w:spacing w:line="360" w:lineRule="auto" w:after="120"/>
      </w:pPr>
      <w:r>
        <w:rPr>
          <w:rFonts w:ascii="微软雅黑" w:hAnsi="微软雅黑"/>
          <w:sz w:val="21"/>
        </w:rPr>
        <w:t>请参阅</w:t>
      </w:r>
      <w:r>
        <w:rPr>
          <w:rFonts w:ascii="微软雅黑" w:hAnsi="微软雅黑"/>
          <w:color w:val="0066CC"/>
          <w:sz w:val="21"/>
          <w:u w:val="single"/>
        </w:rPr>
        <w:t>分支概述</w:t>
      </w:r>
      <w:r>
        <w:rPr>
          <w:rFonts w:ascii="微软雅黑" w:hAnsi="微软雅黑"/>
          <w:sz w:val="21"/>
        </w:rPr>
        <w:t>以获得高级别的解释。</w:t>
      </w:r>
    </w:p>
    <w:p>
      <w:pPr>
        <w:pStyle w:val="ListBullet"/>
        <w:spacing w:line="360" w:lineRule="auto" w:after="120"/>
      </w:pPr>
      <w:r>
        <w:rPr>
          <w:rFonts w:ascii="微软雅黑" w:hAnsi="微软雅黑"/>
          <w:sz w:val="21"/>
        </w:rPr>
        <w:t>请参阅</w:t>
      </w:r>
      <w:r>
        <w:rPr>
          <w:rFonts w:ascii="微软雅黑" w:hAnsi="微软雅黑"/>
          <w:color w:val="0066CC"/>
          <w:sz w:val="21"/>
          <w:u w:val="single"/>
        </w:rPr>
        <w:t>搭建中的分支</w:t>
      </w:r>
      <w:r>
        <w:rPr>
          <w:rFonts w:ascii="微软雅黑" w:hAnsi="微软雅黑"/>
          <w:sz w:val="21"/>
        </w:rPr>
        <w:t>部分以了解分支在搭建中的工作原理。</w:t>
      </w:r>
    </w:p>
    <w:p>
      <w:pPr>
        <w:pStyle w:val="Heading2"/>
      </w:pPr>
      <w:r>
        <w:rPr>
          <w:rFonts w:ascii="微软雅黑" w:hAnsi="微软雅黑"/>
        </w:rPr>
        <w:t>实时日志</w:t>
      </w:r>
    </w:p>
    <w:p>
      <w:pPr>
        <w:spacing w:line="360" w:lineRule="auto" w:after="120"/>
      </w:pPr>
      <w:r>
        <w:rPr>
          <w:rFonts w:ascii="微软雅黑" w:hAnsi="微软雅黑"/>
          <w:sz w:val="21"/>
        </w:rPr>
        <w:t>实时日志提供对运行任务的实时可见性，允许您监控任务的进展并检查长时间运行的任务，例如流或计算模块。</w:t>
      </w:r>
    </w:p>
    <w:p>
      <w:pPr>
        <w:spacing w:after="40"/>
        <w:jc w:val="center"/>
      </w:pPr>
      <w:r>
        <w:rPr>
          <w:i/>
          <w:color w:val="646464"/>
          <w:sz w:val="18"/>
        </w:rPr>
        <w:t>图：Builds应用程序中的实时日志视图。</w:t>
      </w:r>
    </w:p>
    <w:p>
      <w:pPr>
        <w:spacing w:before="120" w:after="240"/>
        <w:jc w:val="center"/>
      </w:pPr>
      <w:r>
        <w:drawing>
          <wp:inline xmlns:a="http://schemas.openxmlformats.org/drawingml/2006/main" xmlns:pic="http://schemas.openxmlformats.org/drawingml/2006/picture">
            <wp:extent cx="5029200" cy="3312483"/>
            <wp:docPr id="8" name="Picture 8"/>
            <wp:cNvGraphicFramePr>
              <a:graphicFrameLocks noChangeAspect="1"/>
            </wp:cNvGraphicFramePr>
            <a:graphic>
              <a:graphicData uri="http://schemas.openxmlformats.org/drawingml/2006/picture">
                <pic:pic>
                  <pic:nvPicPr>
                    <pic:cNvPr id="0" name="live-logs-overview.png"/>
                    <pic:cNvPicPr/>
                  </pic:nvPicPr>
                  <pic:blipFill>
                    <a:blip r:embed="rId16"/>
                    <a:stretch>
                      <a:fillRect/>
                    </a:stretch>
                  </pic:blipFill>
                  <pic:spPr>
                    <a:xfrm>
                      <a:off x="0" y="0"/>
                      <a:ext cx="5029200" cy="3312483"/>
                    </a:xfrm>
                    <a:prstGeom prst="rect"/>
                  </pic:spPr>
                </pic:pic>
              </a:graphicData>
            </a:graphic>
          </wp:inline>
        </w:drawing>
      </w:r>
    </w:p>
    <w:p>
      <w:pPr>
        <w:spacing w:line="360" w:lineRule="auto" w:after="120"/>
      </w:pPr>
      <w:r>
        <w:rPr>
          <w:rFonts w:ascii="微软雅黑" w:hAnsi="微软雅黑"/>
          <w:sz w:val="21"/>
        </w:rPr>
        <w:t>您可以通过搭建应用程序访问实时日志。在查看任务时，选择日志查看器右上角的</w:t>
      </w:r>
      <w:r>
        <w:rPr>
          <w:rFonts w:ascii="微软雅黑" w:hAnsi="微软雅黑"/>
          <w:b/>
          <w:sz w:val="21"/>
        </w:rPr>
        <w:t>查看实时</w:t>
      </w:r>
      <w:r>
        <w:rPr>
          <w:rFonts w:ascii="微软雅黑" w:hAnsi="微软雅黑"/>
          <w:sz w:val="21"/>
        </w:rPr>
        <w:t>按钮以开始生成。</w:t>
      </w:r>
    </w:p>
    <w:p>
      <w:pPr>
        <w:spacing w:after="40"/>
        <w:jc w:val="center"/>
      </w:pPr>
      <w:r>
        <w:rPr>
          <w:i/>
          <w:color w:val="646464"/>
          <w:sz w:val="18"/>
        </w:rPr>
        <w:t>图：Builds应用程序中任务的日志查看器页面上的"查看实时"选项。</w:t>
      </w:r>
    </w:p>
    <w:p>
      <w:pPr>
        <w:spacing w:before="120" w:after="240"/>
        <w:jc w:val="center"/>
      </w:pPr>
      <w:r>
        <w:drawing>
          <wp:inline xmlns:a="http://schemas.openxmlformats.org/drawingml/2006/main" xmlns:pic="http://schemas.openxmlformats.org/drawingml/2006/picture">
            <wp:extent cx="5029200" cy="3320286"/>
            <wp:docPr id="9" name="Picture 9"/>
            <wp:cNvGraphicFramePr>
              <a:graphicFrameLocks noChangeAspect="1"/>
            </wp:cNvGraphicFramePr>
            <a:graphic>
              <a:graphicData uri="http://schemas.openxmlformats.org/drawingml/2006/picture">
                <pic:pic>
                  <pic:nvPicPr>
                    <pic:cNvPr id="0" name="live-logs-build-page.png"/>
                    <pic:cNvPicPr/>
                  </pic:nvPicPr>
                  <pic:blipFill>
                    <a:blip r:embed="rId17"/>
                    <a:stretch>
                      <a:fillRect/>
                    </a:stretch>
                  </pic:blipFill>
                  <pic:spPr>
                    <a:xfrm>
                      <a:off x="0" y="0"/>
                      <a:ext cx="5029200" cy="3320286"/>
                    </a:xfrm>
                    <a:prstGeom prst="rect"/>
                  </pic:spPr>
                </pic:pic>
              </a:graphicData>
            </a:graphic>
          </wp:inline>
        </w:drawing>
      </w:r>
    </w:p>
    <w:p>
      <w:pPr>
        <w:spacing w:line="360" w:lineRule="auto" w:after="120"/>
      </w:pPr>
      <w:r>
        <w:rPr>
          <w:rFonts w:ascii="微软雅黑" w:hAnsi="微软雅黑"/>
          <w:sz w:val="21"/>
        </w:rPr>
        <w:t>实时日志的一个关键特性是按日志级别内置的颜色编码，使识别和优先处理警告和出错更容易：</w:t>
      </w:r>
    </w:p>
    <w:p>
      <w:pPr>
        <w:spacing w:after="40"/>
        <w:jc w:val="center"/>
      </w:pPr>
      <w:r>
        <w:rPr>
          <w:i/>
          <w:color w:val="646464"/>
          <w:sz w:val="18"/>
        </w:rPr>
        <w:t>图：实时日志提要中各种颜色编码指示器的示例。</w:t>
      </w:r>
    </w:p>
    <w:p>
      <w:pPr>
        <w:spacing w:before="120" w:after="240"/>
        <w:jc w:val="center"/>
      </w:pPr>
      <w:r>
        <w:drawing>
          <wp:inline xmlns:a="http://schemas.openxmlformats.org/drawingml/2006/main" xmlns:pic="http://schemas.openxmlformats.org/drawingml/2006/picture">
            <wp:extent cx="2301342" cy="4114800"/>
            <wp:docPr id="10" name="Picture 10"/>
            <wp:cNvGraphicFramePr>
              <a:graphicFrameLocks noChangeAspect="1"/>
            </wp:cNvGraphicFramePr>
            <a:graphic>
              <a:graphicData uri="http://schemas.openxmlformats.org/drawingml/2006/picture">
                <pic:pic>
                  <pic:nvPicPr>
                    <pic:cNvPr id="0" name="live-logs-color-coding.png"/>
                    <pic:cNvPicPr/>
                  </pic:nvPicPr>
                  <pic:blipFill>
                    <a:blip r:embed="rId18"/>
                    <a:stretch>
                      <a:fillRect/>
                    </a:stretch>
                  </pic:blipFill>
                  <pic:spPr>
                    <a:xfrm>
                      <a:off x="0" y="0"/>
                      <a:ext cx="2301342" cy="4114800"/>
                    </a:xfrm>
                    <a:prstGeom prst="rect"/>
                  </pic:spPr>
                </pic:pic>
              </a:graphicData>
            </a:graphic>
          </wp:inline>
        </w:drawing>
      </w:r>
    </w:p>
    <w:p>
      <w:pPr>
        <w:pStyle w:val="ListBullet"/>
        <w:spacing w:line="360" w:lineRule="auto" w:after="120"/>
      </w:pPr>
      <w:r>
        <w:rPr>
          <w:rFonts w:ascii="微软雅黑" w:hAnsi="微软雅黑"/>
          <w:b/>
          <w:sz w:val="21"/>
        </w:rPr>
        <w:t>信息：</w:t>
      </w:r>
      <w:r>
        <w:rPr>
          <w:rFonts w:ascii="微软雅黑" w:hAnsi="微软雅黑"/>
          <w:sz w:val="21"/>
        </w:rPr>
        <w:t xml:space="preserve"> 蓝色</w:t>
      </w:r>
    </w:p>
    <w:p>
      <w:pPr>
        <w:pStyle w:val="ListBullet"/>
        <w:spacing w:line="360" w:lineRule="auto" w:after="120"/>
      </w:pPr>
      <w:r>
        <w:rPr>
          <w:rFonts w:ascii="微软雅黑" w:hAnsi="微软雅黑"/>
          <w:b/>
          <w:sz w:val="21"/>
        </w:rPr>
        <w:t>严重/出错：</w:t>
      </w:r>
      <w:r>
        <w:rPr>
          <w:rFonts w:ascii="微软雅黑" w:hAnsi="微软雅黑"/>
          <w:sz w:val="21"/>
        </w:rPr>
        <w:t xml:space="preserve"> 红色</w:t>
      </w:r>
    </w:p>
    <w:p>
      <w:pPr>
        <w:pStyle w:val="ListBullet"/>
        <w:spacing w:line="360" w:lineRule="auto" w:after="120"/>
      </w:pPr>
      <w:r>
        <w:rPr>
          <w:rFonts w:ascii="微软雅黑" w:hAnsi="微软雅黑"/>
          <w:b/>
          <w:sz w:val="21"/>
        </w:rPr>
        <w:t>警告：</w:t>
      </w:r>
      <w:r>
        <w:rPr>
          <w:rFonts w:ascii="微软雅黑" w:hAnsi="微软雅黑"/>
          <w:sz w:val="21"/>
        </w:rPr>
        <w:t xml:space="preserve"> 橙色</w:t>
      </w:r>
    </w:p>
    <w:p>
      <w:pPr>
        <w:pStyle w:val="ListBullet"/>
        <w:spacing w:line="360" w:lineRule="auto" w:after="120"/>
      </w:pPr>
      <w:r>
        <w:rPr>
          <w:rFonts w:ascii="微软雅黑" w:hAnsi="微软雅黑"/>
          <w:b/>
          <w:sz w:val="21"/>
        </w:rPr>
        <w:t>调试/跟踪：</w:t>
      </w:r>
      <w:r>
        <w:rPr>
          <w:rFonts w:ascii="微软雅黑" w:hAnsi="微软雅黑"/>
          <w:sz w:val="21"/>
        </w:rPr>
        <w:t xml:space="preserve"> 灰色</w:t>
      </w:r>
    </w:p>
    <w:p>
      <w:pPr>
        <w:spacing w:line="360" w:lineRule="auto" w:after="120"/>
      </w:pPr>
      <w:r>
        <w:rPr>
          <w:rFonts w:ascii="微软雅黑" w:hAnsi="微软雅黑"/>
          <w:sz w:val="21"/>
        </w:rPr>
        <w:t>此外，安全参数和参数以JSON块形式可见，为您的数据提供结构化和可读格式。</w:t>
      </w:r>
    </w:p>
    <w:p>
      <w:pPr>
        <w:spacing w:after="40"/>
        <w:jc w:val="center"/>
      </w:pPr>
      <w:r>
        <w:rPr>
          <w:i/>
          <w:color w:val="646464"/>
          <w:sz w:val="18"/>
        </w:rPr>
        <w:t>图：实时日志提要中的"格式化为JSON"选项。</w:t>
      </w:r>
    </w:p>
    <w:p>
      <w:pPr>
        <w:spacing w:before="120" w:after="240"/>
        <w:jc w:val="center"/>
      </w:pPr>
      <w:r>
        <w:drawing>
          <wp:inline xmlns:a="http://schemas.openxmlformats.org/drawingml/2006/main" xmlns:pic="http://schemas.openxmlformats.org/drawingml/2006/picture">
            <wp:extent cx="5029200" cy="3185160"/>
            <wp:docPr id="11" name="Picture 11"/>
            <wp:cNvGraphicFramePr>
              <a:graphicFrameLocks noChangeAspect="1"/>
            </wp:cNvGraphicFramePr>
            <a:graphic>
              <a:graphicData uri="http://schemas.openxmlformats.org/drawingml/2006/picture">
                <pic:pic>
                  <pic:nvPicPr>
                    <pic:cNvPr id="0" name="live-logs-json.png"/>
                    <pic:cNvPicPr/>
                  </pic:nvPicPr>
                  <pic:blipFill>
                    <a:blip r:embed="rId19"/>
                    <a:stretch>
                      <a:fillRect/>
                    </a:stretch>
                  </pic:blipFill>
                  <pic:spPr>
                    <a:xfrm>
                      <a:off x="0" y="0"/>
                      <a:ext cx="5029200" cy="3185160"/>
                    </a:xfrm>
                    <a:prstGeom prst="rect"/>
                  </pic:spPr>
                </pic:pic>
              </a:graphicData>
            </a:graphic>
          </wp:inline>
        </w:drawing>
      </w:r>
    </w:p>
    <w:p>
      <w:pPr>
        <w:spacing w:line="360" w:lineRule="auto" w:after="120"/>
      </w:pPr>
      <w:r>
        <w:rPr>
          <w:rFonts w:ascii="微软雅黑" w:hAnsi="微软雅黑"/>
          <w:sz w:val="21"/>
        </w:rPr>
        <w:t>您可以通过从界面右上角选择</w:t>
      </w:r>
      <w:r>
        <w:rPr>
          <w:rFonts w:ascii="微软雅黑" w:hAnsi="微软雅黑"/>
          <w:b/>
          <w:sz w:val="21"/>
        </w:rPr>
        <w:t>暂停</w:t>
      </w:r>
      <w:r>
        <w:rPr>
          <w:rFonts w:ascii="微软雅黑" w:hAnsi="微软雅黑"/>
          <w:sz w:val="21"/>
        </w:rPr>
        <w:t>随时停止实时日志提要，并从同一位置恢复。</w:t>
      </w:r>
    </w:p>
    <w:p>
      <w:pPr>
        <w:spacing w:after="40"/>
        <w:jc w:val="center"/>
      </w:pPr>
      <w:r>
        <w:rPr>
          <w:i/>
          <w:color w:val="646464"/>
          <w:sz w:val="18"/>
        </w:rPr>
        <w:t>图：实时日志提要中的"暂停"选项。</w:t>
      </w:r>
    </w:p>
    <w:p>
      <w:pPr>
        <w:spacing w:before="120" w:after="240"/>
        <w:jc w:val="center"/>
      </w:pPr>
      <w:r>
        <w:drawing>
          <wp:inline xmlns:a="http://schemas.openxmlformats.org/drawingml/2006/main" xmlns:pic="http://schemas.openxmlformats.org/drawingml/2006/picture">
            <wp:extent cx="5029200" cy="3067812"/>
            <wp:docPr id="12" name="Picture 12"/>
            <wp:cNvGraphicFramePr>
              <a:graphicFrameLocks noChangeAspect="1"/>
            </wp:cNvGraphicFramePr>
            <a:graphic>
              <a:graphicData uri="http://schemas.openxmlformats.org/drawingml/2006/picture">
                <pic:pic>
                  <pic:nvPicPr>
                    <pic:cNvPr id="0" name="live-logs-pause.png"/>
                    <pic:cNvPicPr/>
                  </pic:nvPicPr>
                  <pic:blipFill>
                    <a:blip r:embed="rId20"/>
                    <a:stretch>
                      <a:fillRect/>
                    </a:stretch>
                  </pic:blipFill>
                  <pic:spPr>
                    <a:xfrm>
                      <a:off x="0" y="0"/>
                      <a:ext cx="5029200" cy="3067812"/>
                    </a:xfrm>
                    <a:prstGeom prst="rect"/>
                  </pic:spPr>
                </pic:pic>
              </a:graphicData>
            </a:graphic>
          </wp:inline>
        </w:drawing>
      </w:r>
    </w:p>
    <w:p>
      <w:pPr>
        <w:spacing w:line="360" w:lineRule="auto" w:after="120"/>
      </w:pPr>
      <w:r>
        <w:rPr>
          <w:rFonts w:ascii="微软雅黑" w:hAnsi="微软雅黑"/>
          <w:sz w:val="21"/>
        </w:rPr>
        <w:t>请注意，时间范围选择不适用于实时日志，因为它们是从任务中实时流式传输的。</w:t>
      </w:r>
    </w:p>
    <w:p>
      <w:pPr>
        <w:spacing w:line="360" w:lineRule="auto" w:after="120"/>
      </w:pPr>
      <w:r>
        <w:rPr>
          <w:rFonts w:ascii="微软雅黑" w:hAnsi="微软雅黑"/>
          <w:sz w:val="21"/>
        </w:rPr>
        <w:t>启用后，界面中实时日志可见之前可能会有十秒钟的延迟。</w:t>
      </w:r>
    </w:p>
    <w:p>
      <w:r>
        <w:br w:type="page"/>
      </w:r>
    </w:p>
    <w:p>
      <w:pPr>
        <w:pStyle w:val="Heading1"/>
      </w:pPr>
      <w:r>
        <w:rPr>
          <w:rFonts w:ascii="微软雅黑" w:hAnsi="微软雅黑"/>
        </w:rPr>
        <w:t>变更数据捕获 (CDC)</w:t>
      </w:r>
    </w:p>
    <w:p>
      <w:pPr>
        <w:spacing w:line="360" w:lineRule="auto" w:after="120"/>
      </w:pPr>
      <w:r>
        <w:rPr>
          <w:rFonts w:ascii="微软雅黑" w:hAnsi="微软雅黑"/>
          <w:sz w:val="21"/>
        </w:rPr>
        <w:t># 变更数据捕获 (CDC)</w:t>
      </w:r>
    </w:p>
    <w:p>
      <w:pPr>
        <w:spacing w:line="360" w:lineRule="auto" w:after="120"/>
      </w:pPr>
      <w:r>
        <w:rPr>
          <w:rFonts w:ascii="微软雅黑" w:hAnsi="微软雅黑"/>
          <w:color w:val="0066CC"/>
          <w:sz w:val="21"/>
          <w:u w:val="single"/>
        </w:rPr>
        <w:t>变更数据捕获 ↗</w:t>
      </w:r>
      <w:r>
        <w:rPr>
          <w:rFonts w:ascii="微软雅黑" w:hAnsi="微软雅黑"/>
          <w:sz w:val="21"/>
        </w:rPr>
        <w:t xml:space="preserve"> (CDC) 是一种企业数据集成模式，通常用于将实时更新从关系数据库流式传输到其他使用者。</w:t>
      </w:r>
    </w:p>
    <w:p>
      <w:pPr>
        <w:spacing w:line="360" w:lineRule="auto" w:after="120"/>
      </w:pPr>
      <w:r>
        <w:rPr>
          <w:rFonts w:ascii="微软雅黑" w:hAnsi="微软雅黑"/>
          <w:sz w:val="21"/>
        </w:rPr>
        <w:t>Foundry 支持同步、处理和存储来自生成变更数据捕获馈送的系统的数据。平台中的组件，包括</w:t>
      </w:r>
      <w:r>
        <w:rPr>
          <w:rFonts w:ascii="微软雅黑" w:hAnsi="微软雅黑"/>
          <w:color w:val="0066CC"/>
          <w:sz w:val="21"/>
          <w:u w:val="single"/>
        </w:rPr>
        <w:t>数据连接器</w:t>
      </w:r>
      <w:r>
        <w:rPr>
          <w:rFonts w:ascii="微软雅黑" w:hAnsi="微软雅黑"/>
          <w:sz w:val="21"/>
        </w:rPr>
        <w:t>、</w:t>
      </w:r>
      <w:r>
        <w:rPr>
          <w:rFonts w:ascii="微软雅黑" w:hAnsi="微软雅黑"/>
          <w:color w:val="0066CC"/>
          <w:sz w:val="21"/>
          <w:u w:val="single"/>
        </w:rPr>
        <w:t>流</w:t>
      </w:r>
      <w:r>
        <w:rPr>
          <w:rFonts w:ascii="微软雅黑" w:hAnsi="微软雅黑"/>
          <w:sz w:val="21"/>
        </w:rPr>
        <w:t>、</w:t>
      </w:r>
      <w:r>
        <w:rPr>
          <w:rFonts w:ascii="微软雅黑" w:hAnsi="微软雅黑"/>
          <w:color w:val="0066CC"/>
          <w:sz w:val="21"/>
          <w:u w:val="single"/>
        </w:rPr>
        <w:t>管道</w:t>
      </w:r>
      <w:r>
        <w:rPr>
          <w:rFonts w:ascii="微软雅黑" w:hAnsi="微软雅黑"/>
          <w:sz w:val="21"/>
        </w:rPr>
        <w:t>和</w:t>
      </w:r>
      <w:r>
        <w:rPr>
          <w:rFonts w:ascii="微软雅黑" w:hAnsi="微软雅黑"/>
          <w:color w:val="0066CC"/>
          <w:sz w:val="21"/>
          <w:u w:val="single"/>
        </w:rPr>
        <w:t>Foundry Ontology</w:t>
      </w:r>
      <w:r>
        <w:rPr>
          <w:rFonts w:ascii="微软雅黑" w:hAnsi="微软雅黑"/>
          <w:sz w:val="21"/>
        </w:rPr>
        <w:t>，都可以使用配置在底层数据</w:t>
      </w:r>
      <w:r>
        <w:rPr>
          <w:rFonts w:ascii="微软雅黑" w:hAnsi="微软雅黑"/>
          <w:color w:val="0066CC"/>
          <w:sz w:val="21"/>
          <w:u w:val="single"/>
        </w:rPr>
        <w:t>架构</w:t>
      </w:r>
      <w:r>
        <w:rPr>
          <w:rFonts w:ascii="微软雅黑" w:hAnsi="微软雅黑"/>
          <w:sz w:val="21"/>
        </w:rPr>
        <w:t>上的元数据本地处理此变更日志数据。</w:t>
      </w:r>
    </w:p>
    <w:p>
      <w:pPr>
        <w:spacing w:line="360" w:lineRule="auto" w:after="120"/>
      </w:pPr>
      <w:r>
        <w:rPr>
          <w:rFonts w:ascii="微软雅黑" w:hAnsi="微软雅黑"/>
          <w:sz w:val="21"/>
        </w:rPr>
        <w:t>变更日志元数据要求数据具备以下属性：</w:t>
      </w:r>
    </w:p>
    <w:p>
      <w:pPr>
        <w:pStyle w:val="ListBullet"/>
        <w:spacing w:line="360" w:lineRule="auto" w:after="120"/>
      </w:pPr>
      <w:r>
        <w:rPr>
          <w:rFonts w:ascii="微软雅黑" w:hAnsi="微软雅黑"/>
          <w:sz w:val="21"/>
        </w:rPr>
        <w:t>一个或多个主键列</w:t>
      </w:r>
    </w:p>
    <w:p>
      <w:pPr>
        <w:pStyle w:val="ListBullet"/>
        <w:spacing w:line="360" w:lineRule="auto" w:after="120"/>
      </w:pPr>
      <w:r>
        <w:rPr>
          <w:rFonts w:ascii="微软雅黑" w:hAnsi="微软雅黑"/>
          <w:sz w:val="21"/>
        </w:rPr>
        <w:t>变更日志数据将包含许多具有相同主键列的条目，因为变更日志旨在传达记录上发生的每个个别变更。变更数据捕获对于正在编辑的数据特别有用，而不是不可变或仅追加的数据馈送。</w:t>
      </w:r>
    </w:p>
    <w:p>
      <w:pPr>
        <w:pStyle w:val="ListBullet"/>
        <w:spacing w:line="360" w:lineRule="auto" w:after="120"/>
      </w:pPr>
      <w:r>
        <w:rPr>
          <w:rFonts w:ascii="微软雅黑" w:hAnsi="微软雅黑"/>
          <w:sz w:val="21"/>
        </w:rPr>
        <w:t>一个或多个排序列</w:t>
      </w:r>
    </w:p>
    <w:p>
      <w:pPr>
        <w:pStyle w:val="ListBullet"/>
        <w:spacing w:line="360" w:lineRule="auto" w:after="120"/>
      </w:pPr>
      <w:r>
        <w:rPr>
          <w:rFonts w:ascii="微软雅黑" w:hAnsi="微软雅黑"/>
          <w:sz w:val="21"/>
        </w:rPr>
        <w:t>排序列必须是数值型，用于确定具有给定主键集的记录的变更相对顺序。排序列通常是表示为长整数的时间戳，但并非总是如此。最大值被理解为最新的，即使排序列不是时间戳。</w:t>
      </w:r>
    </w:p>
    <w:p>
      <w:pPr>
        <w:pStyle w:val="ListBullet"/>
        <w:spacing w:line="360" w:lineRule="auto" w:after="120"/>
      </w:pPr>
      <w:r>
        <w:rPr>
          <w:rFonts w:ascii="微软雅黑" w:hAnsi="微软雅黑"/>
          <w:sz w:val="21"/>
        </w:rPr>
        <w:t>一个删除列</w:t>
      </w:r>
    </w:p>
    <w:p>
      <w:pPr>
        <w:pStyle w:val="ListBullet"/>
        <w:spacing w:line="360" w:lineRule="auto" w:after="120"/>
      </w:pPr>
      <w:r>
        <w:rPr>
          <w:rFonts w:ascii="微软雅黑" w:hAnsi="微软雅黑"/>
          <w:sz w:val="21"/>
        </w:rPr>
        <w:t>删除列用于确定给定更新是否删除了具有给定主键集的记录。这必须是一个布尔值，如果记录被删除则为 true，否则应为 false。</w:t>
      </w:r>
    </w:p>
    <w:p>
      <w:pPr>
        <w:spacing w:line="360" w:lineRule="auto" w:after="120"/>
      </w:pPr>
      <w:r>
        <w:rPr>
          <w:rFonts w:ascii="微软雅黑" w:hAnsi="微软雅黑"/>
          <w:sz w:val="21"/>
        </w:rPr>
        <w:t>此变更日志元数据用于指定一种解决策略，以将变更日志解析为源系统中数据的当前视图。变更数据捕获的解决策略如下：</w:t>
      </w:r>
    </w:p>
    <w:p>
      <w:pPr>
        <w:pStyle w:val="ListNumber"/>
        <w:spacing w:line="360" w:lineRule="auto" w:after="120"/>
      </w:pPr>
      <w:r>
        <w:rPr>
          <w:rFonts w:ascii="微软雅黑" w:hAnsi="微软雅黑"/>
          <w:sz w:val="21"/>
        </w:rPr>
        <w:t>根据主键列对数据进行分组。</w:t>
      </w:r>
    </w:p>
    <w:p>
      <w:pPr>
        <w:pStyle w:val="ListNumber"/>
        <w:spacing w:line="360" w:lineRule="auto" w:after="120"/>
      </w:pPr>
      <w:r>
        <w:rPr>
          <w:rFonts w:ascii="微软雅黑" w:hAnsi="微软雅黑"/>
          <w:sz w:val="21"/>
        </w:rPr>
        <w:t>找到排序列中具有最大值的条目。</w:t>
      </w:r>
    </w:p>
    <w:p>
      <w:pPr>
        <w:pStyle w:val="ListNumber"/>
        <w:spacing w:line="360" w:lineRule="auto" w:after="120"/>
      </w:pPr>
      <w:r>
        <w:rPr>
          <w:rFonts w:ascii="微软雅黑" w:hAnsi="微软雅黑"/>
          <w:sz w:val="21"/>
        </w:rPr>
        <w:t xml:space="preserve">如果此条目在删除列中具有值 </w:t>
      </w:r>
      <w:r>
        <w:rPr>
          <w:rFonts w:ascii="Consolas" w:hAnsi="Consolas"/>
          <w:color w:val="B43C3C"/>
          <w:sz w:val="18"/>
        </w:rPr>
        <w:t>true</w:t>
      </w:r>
      <w:r>
        <w:rPr>
          <w:rFonts w:ascii="微软雅黑" w:hAnsi="微软雅黑"/>
          <w:sz w:val="21"/>
        </w:rPr>
        <w:t>，则将其移除。</w:t>
      </w:r>
    </w:p>
    <w:p>
      <w:pPr>
        <w:spacing w:line="360" w:lineRule="auto" w:after="120"/>
      </w:pPr>
      <w:r>
        <w:rPr>
          <w:rFonts w:ascii="微软雅黑" w:hAnsi="微软雅黑"/>
          <w:sz w:val="21"/>
        </w:rPr>
        <w:t>经过这些步骤后，变更日志现在应折叠为与上游源系统中生成的变更日志相同的视图。不同的 Palantir 组件以不同的方式使用变更日志元数据和解决策略，如下所述。</w:t>
      </w:r>
    </w:p>
    <w:p>
      <w:pPr>
        <w:pStyle w:val="Heading2"/>
      </w:pPr>
      <w:r>
        <w:rPr>
          <w:rFonts w:ascii="微软雅黑" w:hAnsi="微软雅黑"/>
        </w:rPr>
        <w:t>数据连接中的变更数据捕获</w:t>
      </w:r>
    </w:p>
    <w:p>
      <w:pPr>
        <w:spacing w:line="360" w:lineRule="auto" w:after="120"/>
      </w:pPr>
      <w:r>
        <w:rPr>
          <w:rFonts w:ascii="微软雅黑" w:hAnsi="微软雅黑"/>
          <w:sz w:val="21"/>
        </w:rPr>
        <w:t>数据连接中可用的源可能支持以流的形式同步来自系统的数据，并应用变更日志元数据。源实现同步变更日志数据的功能取决于源系统生成具有所需属性（主键列、排序列和删除列）的日志数据的能力。</w:t>
      </w:r>
    </w:p>
    <w:p>
      <w:pPr>
        <w:spacing w:line="360" w:lineRule="auto" w:after="120"/>
      </w:pPr>
      <w:r>
        <w:rPr>
          <w:rFonts w:ascii="微软雅黑" w:hAnsi="微软雅黑"/>
          <w:sz w:val="21"/>
        </w:rPr>
        <w:t>包括 MySQL、PostgreSQL、Oracle、Db2 和 SQL Server 在内的许多常用数据库都可以生成 CDC 变更日志数据。Foundry 中这些系统的数据连接器可能支持或不支持直接同步这些变更日志。即使连接器当前不支持 CDC 同步，您仍然可以通过 Kafka 或其他流式中间件同步数据，并在数据到达 Foundry 后用作变更日志。</w:t>
      </w:r>
    </w:p>
    <w:p>
      <w:pPr>
        <w:spacing w:line="360" w:lineRule="auto" w:after="120"/>
      </w:pPr>
      <w:r>
        <w:rPr>
          <w:rFonts w:ascii="微软雅黑" w:hAnsi="微软雅黑"/>
          <w:sz w:val="21"/>
        </w:rPr>
        <w:t>数据连接中当前支持 CDC 同步的源类型如下：</w:t>
      </w:r>
    </w:p>
    <w:p>
      <w:pPr>
        <w:pStyle w:val="ListBullet"/>
        <w:spacing w:line="360" w:lineRule="auto" w:after="120"/>
      </w:pPr>
      <w:r>
        <w:rPr>
          <w:rFonts w:ascii="微软雅黑" w:hAnsi="微软雅黑"/>
          <w:sz w:val="21"/>
        </w:rPr>
        <w:t>Microsoft SQL Server</w:t>
      </w:r>
    </w:p>
    <w:p>
      <w:pPr>
        <w:pStyle w:val="ListBullet"/>
        <w:spacing w:line="360" w:lineRule="auto" w:after="120"/>
      </w:pPr>
      <w:r>
        <w:rPr>
          <w:rFonts w:ascii="微软雅黑" w:hAnsi="微软雅黑"/>
          <w:sz w:val="21"/>
        </w:rPr>
        <w:t>PostgreSQL</w:t>
      </w:r>
    </w:p>
    <w:p>
      <w:pPr>
        <w:spacing w:line="360" w:lineRule="auto" w:after="120"/>
      </w:pPr>
      <w:r>
        <w:rPr>
          <w:rFonts w:ascii="微软雅黑" w:hAnsi="微软雅黑"/>
          <w:sz w:val="21"/>
        </w:rPr>
        <w:t>此外，通过一个实验性连接器还可以使用以下系统的 CDC 同步。如果您想使用此连接器，请联系您的 Palantir 代表。</w:t>
      </w:r>
    </w:p>
    <w:p>
      <w:pPr>
        <w:pStyle w:val="ListBullet"/>
        <w:spacing w:line="360" w:lineRule="auto" w:after="120"/>
      </w:pPr>
      <w:r>
        <w:rPr>
          <w:rFonts w:ascii="微软雅黑" w:hAnsi="微软雅黑"/>
          <w:sz w:val="21"/>
        </w:rPr>
        <w:t>Oracle</w:t>
      </w:r>
    </w:p>
    <w:p>
      <w:pPr>
        <w:pStyle w:val="ListBullet"/>
        <w:spacing w:line="360" w:lineRule="auto" w:after="120"/>
      </w:pPr>
      <w:r>
        <w:rPr>
          <w:rFonts w:ascii="微软雅黑" w:hAnsi="微软雅黑"/>
          <w:sz w:val="21"/>
        </w:rPr>
        <w:t>MySQL</w:t>
      </w:r>
    </w:p>
    <w:p>
      <w:pPr>
        <w:spacing w:line="360" w:lineRule="auto" w:after="120"/>
      </w:pPr>
      <w:r>
        <w:rPr>
          <w:rFonts w:ascii="微软雅黑" w:hAnsi="微软雅黑"/>
          <w:sz w:val="21"/>
        </w:rPr>
        <w:t>如果您从其他来源（如 Kafka、Kinesis、Amazon SQS 或基于推送的流集成）获得了变更日志形状的数据，请阅读如何在</w:t>
      </w:r>
      <w:r>
        <w:rPr>
          <w:rFonts w:ascii="微软雅黑" w:hAnsi="微软雅黑"/>
          <w:color w:val="0066CC"/>
          <w:sz w:val="21"/>
          <w:u w:val="single"/>
        </w:rPr>
        <w:t>管道构建器</w:t>
      </w:r>
      <w:r>
        <w:rPr>
          <w:rFonts w:ascii="微软雅黑" w:hAnsi="微软雅黑"/>
          <w:sz w:val="21"/>
        </w:rPr>
        <w:t>中使用按键面板手动配置变更日志元数据。</w:t>
      </w:r>
    </w:p>
    <w:p>
      <w:pPr>
        <w:pStyle w:val="Heading3"/>
      </w:pPr>
      <w:r>
        <w:rPr>
          <w:rFonts w:ascii="微软雅黑" w:hAnsi="微软雅黑"/>
        </w:rPr>
        <w:t>在外部数据库上启用变更数据捕获</w:t>
      </w:r>
    </w:p>
    <w:p>
      <w:pPr>
        <w:spacing w:line="360" w:lineRule="auto" w:after="120"/>
      </w:pPr>
      <w:r>
        <w:rPr>
          <w:rFonts w:ascii="微软雅黑" w:hAnsi="微软雅黑"/>
          <w:sz w:val="21"/>
        </w:rPr>
        <w:t>要从支持的源类型同步变更日志馈送，您必须为相关表启用正确的设置，并且在某些情况下，还需为整个数据库启用这些设置。</w:t>
      </w:r>
    </w:p>
    <w:p>
      <w:pPr>
        <w:spacing w:line="360" w:lineRule="auto" w:after="120"/>
      </w:pPr>
      <w:r>
        <w:rPr>
          <w:rFonts w:ascii="微软雅黑" w:hAnsi="微软雅黑"/>
          <w:sz w:val="21"/>
        </w:rPr>
        <w:t>例如，要为 Microsoft SQL Server 启用变更数据捕获，您必须运行一个命令以在数据库上启用 CDC：</w:t>
      </w:r>
    </w:p>
    <w:p>
      <w:pPr>
        <w:spacing w:before="80" w:after="80"/>
        <w:ind w:left="567"/>
      </w:pPr>
      <w:r>
        <w:rPr>
          <w:rFonts w:ascii="Consolas" w:hAnsi="Consolas"/>
          <w:color w:val="505050"/>
          <w:sz w:val="18"/>
        </w:rPr>
        <w:t>USE &lt;database&gt;  -- 使用指定的数据库</w:t>
        <w:br/>
        <w:t>GO</w:t>
        <w:br/>
        <w:t>EXEC sys.sp_cdc_enable_db  -- 启用当前数据库的更改数据捕获 (Change Data Capture)</w:t>
        <w:br/>
        <w:t>GO</w:t>
      </w:r>
    </w:p>
    <w:p>
      <w:pPr>
        <w:spacing w:line="360" w:lineRule="auto" w:after="120"/>
      </w:pPr>
      <w:r>
        <w:rPr>
          <w:rFonts w:ascii="微软雅黑" w:hAnsi="微软雅黑"/>
          <w:sz w:val="21"/>
        </w:rPr>
        <w:t>然后，在每个应该记录更改日志的表上运行另一个命令：</w:t>
      </w:r>
    </w:p>
    <w:p>
      <w:pPr>
        <w:spacing w:before="80" w:after="80"/>
        <w:ind w:left="567"/>
      </w:pPr>
      <w:r>
        <w:rPr>
          <w:rFonts w:ascii="Consolas" w:hAnsi="Consolas"/>
          <w:color w:val="505050"/>
          <w:sz w:val="18"/>
        </w:rPr>
        <w:t>EXEC sys.sp_cdc_enable_table</w:t>
        <w:br/>
        <w:t xml:space="preserve">    @source_schema = N'&lt;schema&gt;'  -- 源模式名称</w:t>
        <w:br/>
        <w:t xml:space="preserve">  , @source_name = N'&lt;table_name&gt;'  -- 源表名称</w:t>
        <w:br/>
        <w:t xml:space="preserve">  , @role_name = NULL  -- 角色名称，NULL表示没有特定角色</w:t>
        <w:br/>
        <w:t xml:space="preserve">  , @capture_instance = NULL  -- 捕获实例名称，NULL表示使用默认实例名称</w:t>
        <w:br/>
        <w:t xml:space="preserve">  , @supports_net_changes = 0  -- 是否支持网络更改，0表示不支持</w:t>
        <w:br/>
        <w:t xml:space="preserve">  , @filegroup_name = N'PRIMARY';  -- 使用的文件组名称</w:t>
        <w:br/>
        <w:t>GO</w:t>
      </w:r>
    </w:p>
    <w:p>
      <w:pPr>
        <w:spacing w:line="360" w:lineRule="auto" w:after="120"/>
      </w:pPr>
      <w:r>
        <w:rPr>
          <w:rFonts w:ascii="微软雅黑" w:hAnsi="微软雅黑"/>
          <w:sz w:val="21"/>
        </w:rPr>
        <w:t>这个SQL脚本用于启用SQL Server中的表的更改数据捕获（CDC）。</w:t>
      </w:r>
    </w:p>
    <w:p>
      <w:pPr>
        <w:spacing w:line="360" w:lineRule="auto" w:after="120"/>
      </w:pPr>
      <w:r>
        <w:rPr>
          <w:rFonts w:ascii="微软雅黑" w:hAnsi="微软雅黑"/>
          <w:sz w:val="21"/>
        </w:rPr>
        <w:t>上述示例提供了启用源系统生成变更日志数据可能需要的高层次解释。有关如何为特定系统启用变更数据捕获日志的详细信息，请参阅该系统提供的文档。</w:t>
      </w:r>
    </w:p>
    <w:p>
      <w:pPr>
        <w:pStyle w:val="Heading3"/>
      </w:pPr>
      <w:r>
        <w:rPr>
          <w:rFonts w:ascii="微软雅黑" w:hAnsi="微软雅黑"/>
        </w:rPr>
        <w:t>设置源连接以进行变更数据捕获</w:t>
      </w:r>
    </w:p>
    <w:p>
      <w:pPr>
        <w:spacing w:line="360" w:lineRule="auto" w:after="120"/>
      </w:pPr>
      <w:r>
        <w:rPr>
          <w:rFonts w:ascii="微软雅黑" w:hAnsi="微软雅黑"/>
          <w:sz w:val="21"/>
        </w:rPr>
        <w:t>现在，您可以在数据连接中配置一个源，该源连接到您想要捕获变更日志的系统。继续我们的示例，使用Microsoft SQL Server连接器设置连接，如下所示：</w:t>
      </w:r>
    </w:p>
    <w:p>
      <w:pPr>
        <w:spacing w:after="40"/>
        <w:jc w:val="center"/>
      </w:pPr>
      <w:r>
        <w:rPr>
          <w:i/>
          <w:color w:val="646464"/>
          <w:sz w:val="18"/>
        </w:rPr>
        <w:t>图：数据连接中CDC数据的新源页面。</w:t>
      </w:r>
    </w:p>
    <w:p>
      <w:pPr>
        <w:spacing w:before="120" w:after="240"/>
        <w:jc w:val="center"/>
      </w:pPr>
      <w:r>
        <w:drawing>
          <wp:inline xmlns:a="http://schemas.openxmlformats.org/drawingml/2006/main" xmlns:pic="http://schemas.openxmlformats.org/drawingml/2006/picture">
            <wp:extent cx="5029200" cy="2762567"/>
            <wp:docPr id="13" name="Picture 13"/>
            <wp:cNvGraphicFramePr>
              <a:graphicFrameLocks noChangeAspect="1"/>
            </wp:cNvGraphicFramePr>
            <a:graphic>
              <a:graphicData uri="http://schemas.openxmlformats.org/drawingml/2006/picture">
                <pic:pic>
                  <pic:nvPicPr>
                    <pic:cNvPr id="0" name="cdc-new-sql-server-source.png"/>
                    <pic:cNvPicPr/>
                  </pic:nvPicPr>
                  <pic:blipFill>
                    <a:blip r:embed="rId21"/>
                    <a:stretch>
                      <a:fillRect/>
                    </a:stretch>
                  </pic:blipFill>
                  <pic:spPr>
                    <a:xfrm>
                      <a:off x="0" y="0"/>
                      <a:ext cx="5029200" cy="2762567"/>
                    </a:xfrm>
                    <a:prstGeom prst="rect"/>
                  </pic:spPr>
                </pic:pic>
              </a:graphicData>
            </a:graphic>
          </wp:inline>
        </w:drawing>
      </w:r>
    </w:p>
    <w:p>
      <w:pPr>
        <w:pStyle w:val="Heading3"/>
      </w:pPr>
      <w:r>
        <w:rPr>
          <w:rFonts w:ascii="微软雅黑" w:hAnsi="微软雅黑"/>
        </w:rPr>
        <w:t>创建变更数据捕获同步</w:t>
      </w:r>
    </w:p>
    <w:p>
      <w:pPr>
        <w:spacing w:line="360" w:lineRule="auto" w:after="120"/>
      </w:pPr>
      <w:r>
        <w:rPr>
          <w:rFonts w:ascii="微软雅黑" w:hAnsi="微软雅黑"/>
          <w:sz w:val="21"/>
        </w:rPr>
        <w:t>在源概览页面上，您将看到一个空的</w:t>
      </w:r>
      <w:r>
        <w:rPr>
          <w:rFonts w:ascii="微软雅黑" w:hAnsi="微软雅黑"/>
          <w:b/>
          <w:sz w:val="21"/>
        </w:rPr>
        <w:t>CDC同步</w:t>
      </w:r>
      <w:r>
        <w:rPr>
          <w:rFonts w:ascii="微软雅黑" w:hAnsi="微软雅黑"/>
          <w:sz w:val="21"/>
        </w:rPr>
        <w:t>表。</w:t>
      </w:r>
    </w:p>
    <w:p>
      <w:pPr>
        <w:spacing w:after="40"/>
        <w:jc w:val="center"/>
      </w:pPr>
      <w:r>
        <w:rPr>
          <w:i/>
          <w:color w:val="646464"/>
          <w:sz w:val="18"/>
        </w:rPr>
        <w:t>图：示例Microsoft SQL Server源的概览页面上的CDC同步部分，用红色矩形框出。</w:t>
      </w:r>
    </w:p>
    <w:p>
      <w:pPr>
        <w:spacing w:before="120" w:after="240"/>
        <w:jc w:val="center"/>
      </w:pPr>
      <w:r>
        <w:drawing>
          <wp:inline xmlns:a="http://schemas.openxmlformats.org/drawingml/2006/main" xmlns:pic="http://schemas.openxmlformats.org/drawingml/2006/picture">
            <wp:extent cx="5029200" cy="2762567"/>
            <wp:docPr id="14" name="Picture 14"/>
            <wp:cNvGraphicFramePr>
              <a:graphicFrameLocks noChangeAspect="1"/>
            </wp:cNvGraphicFramePr>
            <a:graphic>
              <a:graphicData uri="http://schemas.openxmlformats.org/drawingml/2006/picture">
                <pic:pic>
                  <pic:nvPicPr>
                    <pic:cNvPr id="0" name="cdc-data-connection-source-overview.png"/>
                    <pic:cNvPicPr/>
                  </pic:nvPicPr>
                  <pic:blipFill>
                    <a:blip r:embed="rId22"/>
                    <a:stretch>
                      <a:fillRect/>
                    </a:stretch>
                  </pic:blipFill>
                  <pic:spPr>
                    <a:xfrm>
                      <a:off x="0" y="0"/>
                      <a:ext cx="5029200" cy="2762567"/>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创建CDC同步</w:t>
      </w:r>
      <w:r>
        <w:rPr>
          <w:rFonts w:ascii="微软雅黑" w:hAnsi="微软雅黑"/>
          <w:sz w:val="21"/>
        </w:rPr>
        <w:t>以添加新的变更数据捕获同步。指定您希望同步的表，以下信息将由连接器自动推导：</w:t>
      </w:r>
    </w:p>
    <w:p>
      <w:pPr>
        <w:pStyle w:val="ListBullet"/>
        <w:spacing w:line="360" w:lineRule="auto" w:after="120"/>
      </w:pPr>
      <w:r>
        <w:rPr>
          <w:rFonts w:ascii="微软雅黑" w:hAnsi="微软雅黑"/>
          <w:sz w:val="21"/>
        </w:rPr>
        <w:t>输出流数据集的模式。</w:t>
      </w:r>
    </w:p>
    <w:p>
      <w:pPr>
        <w:pStyle w:val="ListBullet"/>
        <w:spacing w:line="360" w:lineRule="auto" w:after="120"/>
      </w:pPr>
      <w:r>
        <w:rPr>
          <w:rFonts w:ascii="微软雅黑" w:hAnsi="微软雅黑"/>
          <w:sz w:val="21"/>
        </w:rPr>
        <w:t>变更日志元数据，包括主键列、排序列和删除列。</w:t>
      </w:r>
    </w:p>
    <w:p>
      <w:pPr>
        <w:spacing w:after="40"/>
        <w:jc w:val="center"/>
      </w:pPr>
      <w:r>
        <w:rPr>
          <w:i/>
          <w:color w:val="646464"/>
          <w:sz w:val="18"/>
        </w:rPr>
        <w:t>图：新同步配置页面，包含编辑表、模式和主键的部分。</w:t>
      </w:r>
    </w:p>
    <w:p>
      <w:pPr>
        <w:spacing w:before="120" w:after="240"/>
        <w:jc w:val="center"/>
      </w:pPr>
      <w:r>
        <w:drawing>
          <wp:inline xmlns:a="http://schemas.openxmlformats.org/drawingml/2006/main" xmlns:pic="http://schemas.openxmlformats.org/drawingml/2006/picture">
            <wp:extent cx="5029200" cy="2622867"/>
            <wp:docPr id="15" name="Picture 15"/>
            <wp:cNvGraphicFramePr>
              <a:graphicFrameLocks noChangeAspect="1"/>
            </wp:cNvGraphicFramePr>
            <a:graphic>
              <a:graphicData uri="http://schemas.openxmlformats.org/drawingml/2006/picture">
                <pic:pic>
                  <pic:nvPicPr>
                    <pic:cNvPr id="0" name="cdc-data-connection-new-sync.png"/>
                    <pic:cNvPicPr/>
                  </pic:nvPicPr>
                  <pic:blipFill>
                    <a:blip r:embed="rId23"/>
                    <a:stretch>
                      <a:fillRect/>
                    </a:stretch>
                  </pic:blipFill>
                  <pic:spPr>
                    <a:xfrm>
                      <a:off x="0" y="0"/>
                      <a:ext cx="5029200" cy="2622867"/>
                    </a:xfrm>
                    <a:prstGeom prst="rect"/>
                  </pic:spPr>
                </pic:pic>
              </a:graphicData>
            </a:graphic>
          </wp:inline>
        </w:drawing>
      </w:r>
    </w:p>
    <w:p>
      <w:pPr>
        <w:spacing w:line="360" w:lineRule="auto" w:after="120"/>
      </w:pPr>
      <w:r>
        <w:rPr>
          <w:rFonts w:ascii="微软雅黑" w:hAnsi="微软雅黑"/>
          <w:sz w:val="21"/>
        </w:rPr>
        <w:t>与其他流一样，您必须在创建时指定预期的</w:t>
      </w:r>
      <w:r>
        <w:rPr>
          <w:rFonts w:ascii="微软雅黑" w:hAnsi="微软雅黑"/>
          <w:color w:val="0066CC"/>
          <w:sz w:val="21"/>
          <w:u w:val="single"/>
        </w:rPr>
        <w:t>吞吐量</w:t>
      </w:r>
      <w:r>
        <w:rPr>
          <w:rFonts w:ascii="微软雅黑" w:hAnsi="微软雅黑"/>
          <w:sz w:val="21"/>
        </w:rPr>
        <w:t>。同步创建后吞吐量无法更改；确保您的流配置支持预期的变更日志数据量。默认容量为5MB/s，这通常超过大多数变更数据捕获工作流所需。由于关系数据库中的变更通常以“人类规模”产生，变更的量和频率远小于“机器规模”传感器或设备数据所能达到的量。</w:t>
      </w:r>
    </w:p>
    <w:p>
      <w:pPr>
        <w:spacing w:line="360" w:lineRule="auto" w:after="120"/>
      </w:pPr>
      <w:r>
        <w:rPr>
          <w:rFonts w:ascii="微软雅黑" w:hAnsi="微软雅黑"/>
          <w:sz w:val="21"/>
        </w:rPr>
        <w:t>保存同步配置以在指定的输出位置创建新的流。</w:t>
      </w:r>
    </w:p>
    <w:p>
      <w:pPr>
        <w:spacing w:line="360" w:lineRule="auto" w:after="120"/>
      </w:pPr>
      <w:r>
        <w:rPr>
          <w:rFonts w:ascii="微软雅黑" w:hAnsi="微软雅黑"/>
          <w:sz w:val="21"/>
        </w:rPr>
        <w:t>当前，CDC任务在任何更改后必须手动（重新）启动。所有CDC同步作为单一多输出提取任务运行，这意味着每当添加或移除feed时，必须短暂停止来自同一源的任何现有CDC流。流将优雅地赶上在流同步任务停止期间更改的数据。</w:t>
      </w:r>
    </w:p>
    <w:p>
      <w:pPr>
        <w:spacing w:line="360" w:lineRule="auto" w:after="120"/>
      </w:pPr>
      <w:r>
        <w:rPr>
          <w:rFonts w:ascii="微软雅黑" w:hAnsi="微软雅黑"/>
          <w:sz w:val="21"/>
        </w:rPr>
        <w:t>在启动输出流后，变更日志数据应开始流动并出现在输出流数据集的实时视图中。</w:t>
      </w:r>
    </w:p>
    <w:p>
      <w:pPr>
        <w:pStyle w:val="Heading2"/>
      </w:pPr>
      <w:r>
        <w:rPr>
          <w:rFonts w:ascii="微软雅黑" w:hAnsi="微软雅黑"/>
        </w:rPr>
        <w:t>流中的变更数据捕获</w:t>
      </w:r>
    </w:p>
    <w:p>
      <w:pPr>
        <w:spacing w:line="360" w:lineRule="auto" w:after="120"/>
      </w:pPr>
      <w:r>
        <w:rPr>
          <w:rFonts w:ascii="微软雅黑" w:hAnsi="微软雅黑"/>
          <w:sz w:val="21"/>
        </w:rPr>
        <w:t>具有变更日志元数据的流将显示两种数据视图：</w:t>
      </w:r>
    </w:p>
    <w:p>
      <w:pPr>
        <w:pStyle w:val="ListBullet"/>
        <w:spacing w:line="360" w:lineRule="auto" w:after="120"/>
      </w:pPr>
      <w:r>
        <w:rPr>
          <w:rFonts w:ascii="微软雅黑" w:hAnsi="微软雅黑"/>
          <w:b/>
          <w:sz w:val="21"/>
        </w:rPr>
        <w:t>实时视图</w:t>
      </w:r>
      <w:r>
        <w:rPr>
          <w:rFonts w:ascii="微软雅黑" w:hAnsi="微软雅黑"/>
          <w:sz w:val="21"/>
        </w:rPr>
        <w:t>显示完全展开的变更日志条目列表。</w:t>
      </w:r>
    </w:p>
    <w:p>
      <w:pPr>
        <w:pStyle w:val="ListBullet"/>
        <w:spacing w:line="360" w:lineRule="auto" w:after="120"/>
      </w:pPr>
      <w:r>
        <w:rPr>
          <w:rFonts w:ascii="微软雅黑" w:hAnsi="微软雅黑"/>
          <w:b/>
          <w:sz w:val="21"/>
        </w:rPr>
        <w:t>存档视图</w:t>
      </w:r>
      <w:r>
        <w:rPr>
          <w:rFonts w:ascii="微软雅黑" w:hAnsi="微软雅黑"/>
          <w:sz w:val="21"/>
        </w:rPr>
        <w:t>根据解决策略解析数据并折叠为当前最新数据视图。</w:t>
      </w:r>
    </w:p>
    <w:p>
      <w:pPr>
        <w:spacing w:after="40"/>
        <w:jc w:val="center"/>
      </w:pPr>
      <w:r>
        <w:rPr>
          <w:i/>
          <w:color w:val="646464"/>
          <w:sz w:val="18"/>
        </w:rPr>
        <w:t>图：页面左上角的下拉菜单用于在实时和存档视图之间切换。</w:t>
      </w:r>
    </w:p>
    <w:p>
      <w:pPr>
        <w:spacing w:before="120" w:after="240"/>
        <w:jc w:val="center"/>
      </w:pPr>
      <w:r>
        <w:drawing>
          <wp:inline xmlns:a="http://schemas.openxmlformats.org/drawingml/2006/main" xmlns:pic="http://schemas.openxmlformats.org/drawingml/2006/picture">
            <wp:extent cx="5029200" cy="3626025"/>
            <wp:docPr id="16" name="Picture 16"/>
            <wp:cNvGraphicFramePr>
              <a:graphicFrameLocks noChangeAspect="1"/>
            </wp:cNvGraphicFramePr>
            <a:graphic>
              <a:graphicData uri="http://schemas.openxmlformats.org/drawingml/2006/picture">
                <pic:pic>
                  <pic:nvPicPr>
                    <pic:cNvPr id="0" name="cdc-live-archive-view-on-stream.png"/>
                    <pic:cNvPicPr/>
                  </pic:nvPicPr>
                  <pic:blipFill>
                    <a:blip r:embed="rId24"/>
                    <a:stretch>
                      <a:fillRect/>
                    </a:stretch>
                  </pic:blipFill>
                  <pic:spPr>
                    <a:xfrm>
                      <a:off x="0" y="0"/>
                      <a:ext cx="5029200" cy="3626025"/>
                    </a:xfrm>
                    <a:prstGeom prst="rect"/>
                  </pic:spPr>
                </pic:pic>
              </a:graphicData>
            </a:graphic>
          </wp:inline>
        </w:drawing>
      </w:r>
    </w:p>
    <w:p>
      <w:pPr>
        <w:spacing w:line="360" w:lineRule="auto" w:after="120"/>
      </w:pPr>
      <w:r>
        <w:rPr>
          <w:rFonts w:ascii="微软雅黑" w:hAnsi="微软雅黑"/>
          <w:sz w:val="21"/>
        </w:rPr>
        <w:t>模式将在详细视图中显示变更日志元数据作为主键解析策略。</w:t>
      </w:r>
    </w:p>
    <w:p>
      <w:pPr>
        <w:spacing w:after="40"/>
        <w:jc w:val="center"/>
      </w:pPr>
      <w:r>
        <w:rPr>
          <w:i/>
          <w:color w:val="646464"/>
          <w:sz w:val="18"/>
        </w:rPr>
        <w:t>图：具有解析策略的流变更数据捕获模式。</w:t>
      </w:r>
    </w:p>
    <w:p>
      <w:pPr>
        <w:spacing w:before="120" w:after="240"/>
        <w:jc w:val="center"/>
      </w:pPr>
      <w:r>
        <w:drawing>
          <wp:inline xmlns:a="http://schemas.openxmlformats.org/drawingml/2006/main" xmlns:pic="http://schemas.openxmlformats.org/drawingml/2006/picture">
            <wp:extent cx="5029200" cy="2231326"/>
            <wp:docPr id="17" name="Picture 17"/>
            <wp:cNvGraphicFramePr>
              <a:graphicFrameLocks noChangeAspect="1"/>
            </wp:cNvGraphicFramePr>
            <a:graphic>
              <a:graphicData uri="http://schemas.openxmlformats.org/drawingml/2006/picture">
                <pic:pic>
                  <pic:nvPicPr>
                    <pic:cNvPr id="0" name="cdc-dataset-schema-primary-key-resolution.png"/>
                    <pic:cNvPicPr/>
                  </pic:nvPicPr>
                  <pic:blipFill>
                    <a:blip r:embed="rId25"/>
                    <a:stretch>
                      <a:fillRect/>
                    </a:stretch>
                  </pic:blipFill>
                  <pic:spPr>
                    <a:xfrm>
                      <a:off x="0" y="0"/>
                      <a:ext cx="5029200" cy="2231326"/>
                    </a:xfrm>
                    <a:prstGeom prst="rect"/>
                  </pic:spPr>
                </pic:pic>
              </a:graphicData>
            </a:graphic>
          </wp:inline>
        </w:drawing>
      </w:r>
    </w:p>
    <w:p>
      <w:pPr>
        <w:spacing w:line="360" w:lineRule="auto" w:after="120"/>
      </w:pPr>
      <w:r>
        <w:rPr>
          <w:rFonts w:ascii="微软雅黑" w:hAnsi="微软雅黑"/>
          <w:sz w:val="21"/>
        </w:rPr>
        <w:t>流当前使用排序列进行解析。这意味着即使数据是乱序接收的，数据也将在存档中根据提供的排序列解析。这种行为不同于Foundry Ontology中的变更日志数据行为，后者根据在流中到达的顺序索引数据以支持对象类型。</w:t>
      </w:r>
    </w:p>
    <w:p>
      <w:pPr>
        <w:pStyle w:val="Heading2"/>
      </w:pPr>
      <w:r>
        <w:rPr>
          <w:rFonts w:ascii="微软雅黑" w:hAnsi="微软雅黑"/>
        </w:rPr>
        <w:t>在Pipeline Builder中的变更数据捕获</w:t>
      </w:r>
    </w:p>
    <w:p>
      <w:pPr>
        <w:spacing w:line="360" w:lineRule="auto" w:after="120"/>
      </w:pPr>
      <w:r>
        <w:rPr>
          <w:rFonts w:ascii="微软雅黑" w:hAnsi="微软雅黑"/>
          <w:sz w:val="21"/>
        </w:rPr>
        <w:t>Pipeline Builder中的流变换可用于处理变更日志数据。只要变换未更改元数据列，变更日志元数据将自动在任何输出上传播。</w:t>
      </w:r>
    </w:p>
    <w:p>
      <w:pPr>
        <w:spacing w:line="360" w:lineRule="auto" w:after="120"/>
      </w:pPr>
      <w:r>
        <w:rPr>
          <w:rFonts w:ascii="微软雅黑" w:hAnsi="微软雅黑"/>
          <w:sz w:val="21"/>
        </w:rPr>
        <w:t>如果输入流没有变更日志元数据或元数据列被管道变换，您可以使用“key by”看板对数据进行“key”并在输出上应用变更日志元数据。</w:t>
      </w:r>
    </w:p>
    <w:p>
      <w:pPr>
        <w:spacing w:after="40"/>
        <w:jc w:val="center"/>
      </w:pPr>
      <w:r>
        <w:rPr>
          <w:i/>
          <w:color w:val="646464"/>
          <w:sz w:val="18"/>
        </w:rPr>
        <w:t>图：Pipeline Builder中的Key By看板。</w:t>
      </w:r>
    </w:p>
    <w:p>
      <w:pPr>
        <w:spacing w:before="120" w:after="240"/>
        <w:jc w:val="center"/>
      </w:pPr>
      <w:r>
        <w:drawing>
          <wp:inline xmlns:a="http://schemas.openxmlformats.org/drawingml/2006/main" xmlns:pic="http://schemas.openxmlformats.org/drawingml/2006/picture">
            <wp:extent cx="5029200" cy="1530626"/>
            <wp:docPr id="18" name="Picture 18"/>
            <wp:cNvGraphicFramePr>
              <a:graphicFrameLocks noChangeAspect="1"/>
            </wp:cNvGraphicFramePr>
            <a:graphic>
              <a:graphicData uri="http://schemas.openxmlformats.org/drawingml/2006/picture">
                <pic:pic>
                  <pic:nvPicPr>
                    <pic:cNvPr id="0" name="cdc-builder-key-by-board.png"/>
                    <pic:cNvPicPr/>
                  </pic:nvPicPr>
                  <pic:blipFill>
                    <a:blip r:embed="rId26"/>
                    <a:stretch>
                      <a:fillRect/>
                    </a:stretch>
                  </pic:blipFill>
                  <pic:spPr>
                    <a:xfrm>
                      <a:off x="0" y="0"/>
                      <a:ext cx="5029200" cy="1530626"/>
                    </a:xfrm>
                    <a:prstGeom prst="rect"/>
                  </pic:spPr>
                </pic:pic>
              </a:graphicData>
            </a:graphic>
          </wp:inline>
        </w:drawing>
      </w:r>
    </w:p>
    <w:p>
      <w:pPr>
        <w:pStyle w:val="Heading2"/>
      </w:pPr>
      <w:r>
        <w:rPr>
          <w:rFonts w:ascii="微软雅黑" w:hAnsi="微软雅黑"/>
        </w:rPr>
        <w:t>在Ontology中的变更数据捕获</w:t>
      </w:r>
    </w:p>
    <w:p>
      <w:pPr>
        <w:spacing w:line="360" w:lineRule="auto" w:after="120"/>
      </w:pPr>
      <w:r>
        <w:rPr>
          <w:rFonts w:ascii="微软雅黑" w:hAnsi="微软雅黑"/>
          <w:sz w:val="21"/>
        </w:rPr>
        <w:t>Ontology使用变更日志元数据将数据索引到由流数据源支持的</w:t>
      </w:r>
      <w:r>
        <w:rPr>
          <w:rFonts w:ascii="微软雅黑" w:hAnsi="微软雅黑"/>
          <w:color w:val="0066CC"/>
          <w:sz w:val="21"/>
          <w:u w:val="single"/>
        </w:rPr>
        <w:t>Object Storage V2</w:t>
      </w:r>
      <w:r>
        <w:rPr>
          <w:rFonts w:ascii="微软雅黑" w:hAnsi="微软雅黑"/>
          <w:sz w:val="21"/>
        </w:rPr>
        <w:t>中的对象类型。流中到达的数据被解析并索引到一个最新的当前视图中，该视图在查询Ontology时可用（例如，用于在Workshop模块中显示）。</w:t>
      </w:r>
    </w:p>
    <w:p>
      <w:pPr>
        <w:spacing w:line="360" w:lineRule="auto" w:after="120"/>
      </w:pPr>
      <w:r>
        <w:rPr>
          <w:rFonts w:ascii="微软雅黑" w:hAnsi="微软雅黑"/>
          <w:sz w:val="21"/>
        </w:rPr>
        <w:t>如果在具有变更日志元数据的数据源上配置了</w:t>
      </w:r>
      <w:r>
        <w:rPr>
          <w:rFonts w:ascii="微软雅黑" w:hAnsi="微软雅黑"/>
          <w:color w:val="0066CC"/>
          <w:sz w:val="21"/>
          <w:u w:val="single"/>
        </w:rPr>
        <w:t>保留</w:t>
      </w:r>
      <w:r>
        <w:rPr>
          <w:rFonts w:ascii="微软雅黑" w:hAnsi="微软雅黑"/>
          <w:sz w:val="21"/>
        </w:rPr>
        <w:t>，则在保留窗口时间内未收到更新的任何记录将在Ontology中消失。</w:t>
      </w:r>
    </w:p>
    <w:p>
      <w:pPr>
        <w:spacing w:line="360" w:lineRule="auto" w:after="120"/>
      </w:pPr>
      <w:r>
        <w:rPr>
          <w:rFonts w:ascii="微软雅黑" w:hAnsi="微软雅黑"/>
          <w:sz w:val="21"/>
        </w:rPr>
        <w:t>Ontology当前忽略变更日志元数据中指定的排序列。相反，Object Storage V2根据数据到达支持数据源的顺序索引数据。具体而言，这意味着对于给定的主键，如果一个排序值为</w:t>
      </w:r>
      <w:r>
        <w:rPr>
          <w:rFonts w:ascii="Consolas" w:hAnsi="Consolas"/>
          <w:color w:val="B43C3C"/>
          <w:sz w:val="18"/>
        </w:rPr>
        <w:t>2</w:t>
      </w:r>
      <w:r>
        <w:rPr>
          <w:rFonts w:ascii="微软雅黑" w:hAnsi="微软雅黑"/>
          <w:sz w:val="21"/>
        </w:rPr>
        <w:t>的日志条目在</w:t>
      </w:r>
      <w:r>
        <w:rPr>
          <w:rFonts w:ascii="Consolas" w:hAnsi="Consolas"/>
          <w:color w:val="B43C3C"/>
          <w:sz w:val="18"/>
        </w:rPr>
        <w:t>t1</w:t>
      </w:r>
      <w:r>
        <w:rPr>
          <w:rFonts w:ascii="微软雅黑" w:hAnsi="微软雅黑"/>
          <w:sz w:val="21"/>
        </w:rPr>
        <w:t>到达并且</w:t>
      </w:r>
      <w:r>
        <w:rPr>
          <w:rFonts w:ascii="Consolas" w:hAnsi="Consolas"/>
          <w:color w:val="B43C3C"/>
          <w:sz w:val="18"/>
        </w:rPr>
        <w:t>data_column=foo</w:t>
      </w:r>
      <w:r>
        <w:rPr>
          <w:rFonts w:ascii="微软雅黑" w:hAnsi="微软雅黑"/>
          <w:sz w:val="21"/>
        </w:rPr>
        <w:t>，随后一个排序值为</w:t>
      </w:r>
      <w:r>
        <w:rPr>
          <w:rFonts w:ascii="Consolas" w:hAnsi="Consolas"/>
          <w:color w:val="B43C3C"/>
          <w:sz w:val="18"/>
        </w:rPr>
        <w:t>1</w:t>
      </w:r>
      <w:r>
        <w:rPr>
          <w:rFonts w:ascii="微软雅黑" w:hAnsi="微软雅黑"/>
          <w:sz w:val="21"/>
        </w:rPr>
        <w:t>的日志条目在</w:t>
      </w:r>
      <w:r>
        <w:rPr>
          <w:rFonts w:ascii="Consolas" w:hAnsi="Consolas"/>
          <w:color w:val="B43C3C"/>
          <w:sz w:val="18"/>
        </w:rPr>
        <w:t>t2</w:t>
      </w:r>
      <w:r>
        <w:rPr>
          <w:rFonts w:ascii="微软雅黑" w:hAnsi="微软雅黑"/>
          <w:sz w:val="21"/>
        </w:rPr>
        <w:t>到达并且</w:t>
      </w:r>
      <w:r>
        <w:rPr>
          <w:rFonts w:ascii="Consolas" w:hAnsi="Consolas"/>
          <w:color w:val="B43C3C"/>
          <w:sz w:val="18"/>
        </w:rPr>
        <w:t>data_column=bar</w:t>
      </w:r>
      <w:r>
        <w:rPr>
          <w:rFonts w:ascii="微软雅黑" w:hAnsi="微软雅黑"/>
          <w:sz w:val="21"/>
        </w:rPr>
        <w:t>，记录将显示为</w:t>
      </w:r>
      <w:r>
        <w:rPr>
          <w:rFonts w:ascii="Consolas" w:hAnsi="Consolas"/>
          <w:color w:val="B43C3C"/>
          <w:sz w:val="18"/>
        </w:rPr>
        <w:t>data_column=bar</w:t>
      </w:r>
      <w:r>
        <w:rPr>
          <w:rFonts w:ascii="微软雅黑" w:hAnsi="微软雅黑"/>
          <w:sz w:val="21"/>
        </w:rPr>
        <w:t>，即使在源系统中最新值为</w:t>
      </w:r>
      <w:r>
        <w:rPr>
          <w:rFonts w:ascii="Consolas" w:hAnsi="Consolas"/>
          <w:color w:val="B43C3C"/>
          <w:sz w:val="18"/>
        </w:rPr>
        <w:t>data_column=foo</w:t>
      </w:r>
      <w:r>
        <w:rPr>
          <w:rFonts w:ascii="微软雅黑" w:hAnsi="微软雅黑"/>
          <w:sz w:val="21"/>
        </w:rPr>
        <w:t>。这可能导致Ontology错误地反映源系统中的数据，如果数据乱序到达。</w:t>
      </w:r>
    </w:p>
    <w:p>
      <w:pPr>
        <w:spacing w:line="360" w:lineRule="auto" w:after="120"/>
      </w:pPr>
      <w:r>
        <w:rPr>
          <w:rFonts w:ascii="微软雅黑" w:hAnsi="微软雅黑"/>
          <w:sz w:val="21"/>
        </w:rPr>
        <w:t>由于与Palantir一起使用的连接器保证按顺序传输数据，并且Foundry流保持排序，这种Ontology行为可能只会影响自定义设置或手动回填且在同步前未重新排序的旧流变更日志。如果您遇到这种情况，我们建议在同步到Ontology之前在Pipeline Builder中应用变换以重新排序数据。</w:t>
      </w:r>
    </w:p>
    <w:p>
      <w:pPr>
        <w:pStyle w:val="Heading2"/>
      </w:pPr>
      <w:r>
        <w:rPr>
          <w:rFonts w:ascii="微软雅黑" w:hAnsi="微软雅黑"/>
        </w:rPr>
        <w:t>在Workshop中的变更数据捕获</w:t>
      </w:r>
    </w:p>
    <w:p>
      <w:pPr>
        <w:spacing w:line="360" w:lineRule="auto" w:after="120"/>
      </w:pPr>
      <w:r>
        <w:rPr>
          <w:rFonts w:ascii="微软雅黑" w:hAnsi="微软雅黑"/>
          <w:sz w:val="21"/>
        </w:rPr>
        <w:t>Workshop支持</w:t>
      </w:r>
      <w:r>
        <w:rPr>
          <w:rFonts w:ascii="微软雅黑" w:hAnsi="微软雅黑"/>
          <w:color w:val="0066CC"/>
          <w:sz w:val="21"/>
          <w:u w:val="single"/>
        </w:rPr>
        <w:t>自动刷新</w:t>
      </w:r>
      <w:r>
        <w:rPr>
          <w:rFonts w:ascii="微软雅黑" w:hAnsi="微软雅黑"/>
          <w:sz w:val="21"/>
        </w:rPr>
        <w:t>以在数据在Ontology中可用时立即显示频繁更新的数据。自动刷新与CDC兼容，可以用于确保通过变更数据捕获流入的数据能够及时在Workshop应用程序中使用。</w:t>
      </w:r>
    </w:p>
    <w:p>
      <w:pPr>
        <w:spacing w:line="360" w:lineRule="auto" w:after="120"/>
      </w:pPr>
      <w:r>
        <w:rPr>
          <w:rFonts w:ascii="微软雅黑" w:hAnsi="微软雅黑"/>
          <w:sz w:val="21"/>
        </w:rPr>
        <w:t>对于预计在Workshop模块打开期间频繁更新的任何数据，自动刷新可用。数据无需在支持数据源上具有变更日志元数据即可使用自动刷新。</w:t>
      </w:r>
    </w:p>
    <w:p>
      <w:pPr>
        <w:pStyle w:val="Heading2"/>
      </w:pPr>
      <w:r>
        <w:rPr>
          <w:rFonts w:ascii="微软雅黑" w:hAnsi="微软雅黑"/>
        </w:rPr>
        <w:t>使用变更数据捕获时的注意事项</w:t>
      </w:r>
    </w:p>
    <w:p>
      <w:pPr>
        <w:spacing w:line="360" w:lineRule="auto" w:after="120"/>
      </w:pPr>
      <w:r>
        <w:rPr>
          <w:rFonts w:ascii="微软雅黑" w:hAnsi="微软雅黑"/>
          <w:sz w:val="21"/>
        </w:rPr>
        <w:t>我们建议在使用CDC工作流前查看以下有关回填、停机和其他已知限制的信息。</w:t>
      </w:r>
    </w:p>
    <w:p>
      <w:pPr>
        <w:pStyle w:val="Heading3"/>
      </w:pPr>
      <w:r>
        <w:rPr>
          <w:rFonts w:ascii="微软雅黑" w:hAnsi="微软雅黑"/>
        </w:rPr>
        <w:t>回填</w:t>
      </w:r>
    </w:p>
    <w:p>
      <w:pPr>
        <w:spacing w:line="360" w:lineRule="auto" w:after="120"/>
      </w:pPr>
      <w:r>
        <w:rPr>
          <w:rFonts w:ascii="微软雅黑" w:hAnsi="微软雅黑"/>
          <w:sz w:val="21"/>
        </w:rPr>
        <w:t>所有变更日志同步均以“向前进行”的方式处理；不执行自动回填。</w:t>
      </w:r>
    </w:p>
    <w:p>
      <w:pPr>
        <w:spacing w:line="360" w:lineRule="auto" w:after="120"/>
      </w:pPr>
      <w:r>
        <w:rPr>
          <w:rFonts w:ascii="微软雅黑" w:hAnsi="微软雅黑"/>
          <w:sz w:val="21"/>
        </w:rPr>
        <w:t>通常，变更日志的完整回填是不可能的，因为大多数系统默认不启用CDC。即使启用了变更日志，大多数系统也包括一个保留期，超过此期限后变更日志将被永久删除且无法恢复。</w:t>
      </w:r>
    </w:p>
    <w:p>
      <w:pPr>
        <w:spacing w:line="360" w:lineRule="auto" w:after="120"/>
      </w:pPr>
      <w:r>
        <w:rPr>
          <w:rFonts w:ascii="微软雅黑" w:hAnsi="微软雅黑"/>
          <w:sz w:val="21"/>
        </w:rPr>
        <w:t>如果需要完整回填，我们建议如下操作：</w:t>
      </w:r>
    </w:p>
    <w:p>
      <w:pPr>
        <w:pStyle w:val="ListNumber"/>
        <w:spacing w:line="360" w:lineRule="auto" w:after="120"/>
      </w:pPr>
      <w:r>
        <w:rPr>
          <w:rFonts w:ascii="微软雅黑" w:hAnsi="微软雅黑"/>
          <w:sz w:val="21"/>
        </w:rPr>
        <w:t>以“向前进行”的方式设置CDC流。</w:t>
      </w:r>
    </w:p>
    <w:p>
      <w:pPr>
        <w:pStyle w:val="ListNumber"/>
        <w:spacing w:line="360" w:lineRule="auto" w:after="120"/>
      </w:pPr>
      <w:r>
        <w:rPr>
          <w:rFonts w:ascii="微软雅黑" w:hAnsi="微软雅黑"/>
          <w:sz w:val="21"/>
        </w:rPr>
        <w:t>执行批量同步以提取所需的历史数据。</w:t>
      </w:r>
    </w:p>
    <w:p>
      <w:pPr>
        <w:pStyle w:val="ListNumber"/>
        <w:spacing w:line="360" w:lineRule="auto" w:after="120"/>
      </w:pPr>
      <w:r>
        <w:rPr>
          <w:rFonts w:ascii="微软雅黑" w:hAnsi="微软雅黑"/>
          <w:sz w:val="21"/>
        </w:rPr>
        <w:t>将历史批量数据转换为每个主键的“创建”记录流，然后将该流合并到CDC流中。</w:t>
      </w:r>
    </w:p>
    <w:p>
      <w:pPr>
        <w:spacing w:line="360" w:lineRule="auto" w:after="120"/>
      </w:pPr>
      <w:r>
        <w:rPr>
          <w:rFonts w:ascii="微软雅黑" w:hAnsi="微软雅黑"/>
          <w:sz w:val="21"/>
        </w:rPr>
        <w:t>回填可能导致数据乱序，您可能需要手动重新排序或重放流以正确准备数据以同步到Ontology。</w:t>
      </w:r>
    </w:p>
    <w:p>
      <w:pPr>
        <w:pStyle w:val="Heading3"/>
      </w:pPr>
      <w:r>
        <w:rPr>
          <w:rFonts w:ascii="微软雅黑" w:hAnsi="微软雅黑"/>
        </w:rPr>
        <w:t>停机</w:t>
      </w:r>
    </w:p>
    <w:p>
      <w:pPr>
        <w:spacing w:line="360" w:lineRule="auto" w:after="120"/>
      </w:pPr>
      <w:r>
        <w:rPr>
          <w:rFonts w:ascii="微软雅黑" w:hAnsi="微软雅黑"/>
          <w:sz w:val="21"/>
        </w:rPr>
        <w:t>使用CDC工作流时，您可能会遇到以下停机：</w:t>
      </w:r>
    </w:p>
    <w:p>
      <w:pPr>
        <w:pStyle w:val="ListBullet"/>
        <w:spacing w:line="360" w:lineRule="auto" w:after="120"/>
      </w:pPr>
      <w:r>
        <w:rPr>
          <w:rFonts w:ascii="微软雅黑" w:hAnsi="微软雅黑"/>
          <w:sz w:val="21"/>
        </w:rPr>
        <w:t>源数据库与Foundry代理之间的网络连接</w:t>
      </w:r>
    </w:p>
    <w:p>
      <w:pPr>
        <w:pStyle w:val="ListBullet"/>
        <w:spacing w:line="360" w:lineRule="auto" w:after="120"/>
      </w:pPr>
      <w:r>
        <w:rPr>
          <w:rFonts w:ascii="微软雅黑" w:hAnsi="微软雅黑"/>
          <w:sz w:val="21"/>
        </w:rPr>
        <w:t>Foundry代理主机与Foundry之间的网络连接</w:t>
      </w:r>
    </w:p>
    <w:p>
      <w:pPr>
        <w:pStyle w:val="ListBullet"/>
        <w:spacing w:line="360" w:lineRule="auto" w:after="120"/>
      </w:pPr>
      <w:r>
        <w:rPr>
          <w:rFonts w:ascii="微软雅黑" w:hAnsi="微软雅黑"/>
          <w:sz w:val="21"/>
        </w:rPr>
        <w:t>Foundry停机</w:t>
      </w:r>
    </w:p>
    <w:p>
      <w:pPr>
        <w:pStyle w:val="ListBullet"/>
        <w:spacing w:line="360" w:lineRule="auto" w:after="120"/>
      </w:pPr>
      <w:r>
        <w:rPr>
          <w:rFonts w:ascii="微软雅黑" w:hAnsi="微软雅黑"/>
          <w:sz w:val="21"/>
        </w:rPr>
        <w:t>数据库停机</w:t>
      </w:r>
    </w:p>
    <w:p>
      <w:pPr>
        <w:pStyle w:val="ListBullet"/>
        <w:spacing w:line="360" w:lineRule="auto" w:after="120"/>
      </w:pPr>
      <w:r>
        <w:rPr>
          <w:rFonts w:ascii="微软雅黑" w:hAnsi="微软雅黑"/>
          <w:sz w:val="21"/>
        </w:rPr>
        <w:t>代理停机</w:t>
      </w:r>
    </w:p>
    <w:p>
      <w:pPr>
        <w:spacing w:line="360" w:lineRule="auto" w:after="120"/>
      </w:pPr>
      <w:r>
        <w:rPr>
          <w:rFonts w:ascii="微软雅黑" w:hAnsi="微软雅黑"/>
          <w:sz w:val="21"/>
        </w:rPr>
        <w:t>如果数据库中的复制日志和变更日志上的保留窗口配置得比最大预期停机时间长，停机将得到优雅处理。</w:t>
      </w:r>
    </w:p>
    <w:p>
      <w:pPr>
        <w:spacing w:line="360" w:lineRule="auto" w:after="120"/>
      </w:pPr>
      <w:r>
        <w:rPr>
          <w:rFonts w:ascii="微软雅黑" w:hAnsi="微软雅黑"/>
          <w:sz w:val="21"/>
        </w:rPr>
        <w:t>例如，如果到Foundry的连接中断了几个小时，并且Microsoft SQL Server上的日志保留窗口设置为一天，数据库将继续记录变更日志条目。一旦Foundry重新上线并重新连接到Microsoft SQL Server，Foundry将优雅地赶上。由于在清除变更日志条目的队列之前不会有新数据流入，因此可能会有一些延迟，直到变更再次以接近实时的速度流入Palantir。</w:t>
      </w:r>
    </w:p>
    <w:p>
      <w:pPr>
        <w:pStyle w:val="Heading3"/>
      </w:pPr>
      <w:r>
        <w:rPr>
          <w:rFonts w:ascii="微软雅黑" w:hAnsi="微软雅黑"/>
        </w:rPr>
        <w:t>使用非变更日志来源的变更日志形状数据</w:t>
      </w:r>
    </w:p>
    <w:p>
      <w:pPr>
        <w:spacing w:line="360" w:lineRule="auto" w:after="120"/>
      </w:pPr>
      <w:r>
        <w:rPr>
          <w:rFonts w:ascii="微软雅黑" w:hAnsi="微软雅黑"/>
          <w:sz w:val="21"/>
        </w:rPr>
        <w:t>数据不需要以变更日志形式摄取以使用CDC工作流。Palantir中的任何流数据都可以用变更日志元数据进行“key”，然后在同步到Ontology后用作工作流中的CDC数据。</w:t>
      </w:r>
    </w:p>
    <w:p>
      <w:pPr>
        <w:spacing w:line="360" w:lineRule="auto" w:after="120"/>
      </w:pPr>
      <w:r>
        <w:rPr>
          <w:rFonts w:ascii="微软雅黑" w:hAnsi="微软雅黑"/>
          <w:sz w:val="21"/>
        </w:rPr>
        <w:t>这意味着，例如，可以使用流代理手动将变更日志形状的记录推送到流中。</w:t>
      </w:r>
    </w:p>
    <w:p>
      <w:pPr>
        <w:spacing w:line="360" w:lineRule="auto" w:after="120"/>
      </w:pPr>
      <w:r>
        <w:rPr>
          <w:rFonts w:ascii="微软雅黑" w:hAnsi="微软雅黑"/>
          <w:sz w:val="21"/>
        </w:rPr>
        <w:t>类似地，如果变更日志数据在Kafka主题中可用，可以使用标准（非CDC）同步进行摄取。然后，可以使用Pipeline Builder对其进行“key”，并在Ontology及其他地方使用。</w:t>
      </w:r>
    </w:p>
    <w:p>
      <w:pPr>
        <w:pStyle w:val="Heading3"/>
      </w:pPr>
      <w:r>
        <w:rPr>
          <w:rFonts w:ascii="微软雅黑" w:hAnsi="微软雅黑"/>
        </w:rPr>
        <w:t>移除变更日志元数据</w:t>
      </w:r>
    </w:p>
    <w:p>
      <w:pPr>
        <w:spacing w:line="360" w:lineRule="auto" w:after="120"/>
      </w:pPr>
      <w:r>
        <w:rPr>
          <w:rFonts w:ascii="微软雅黑" w:hAnsi="微软雅黑"/>
          <w:sz w:val="21"/>
        </w:rPr>
        <w:t>有时，移除变更日志元数据可能是有用的。例如，您可能希望移除元数据以分析变更日志捕获的流程。要移除变更日志元数据，请使用以下方法之一：</w:t>
      </w:r>
    </w:p>
    <w:p>
      <w:pPr>
        <w:pStyle w:val="ListBullet"/>
        <w:spacing w:line="360" w:lineRule="auto" w:after="120"/>
      </w:pPr>
      <w:r>
        <w:rPr>
          <w:rFonts w:ascii="微软雅黑" w:hAnsi="微软雅黑"/>
          <w:sz w:val="21"/>
        </w:rPr>
        <w:t>对元数据列执行任何变换</w:t>
      </w:r>
    </w:p>
    <w:p>
      <w:pPr>
        <w:pStyle w:val="ListBullet"/>
        <w:spacing w:line="360" w:lineRule="auto" w:after="120"/>
      </w:pPr>
      <w:r>
        <w:rPr>
          <w:rFonts w:ascii="微软雅黑" w:hAnsi="微软雅黑"/>
          <w:sz w:val="21"/>
        </w:rPr>
        <w:t>手动从流数据集的模式中移除解析策略</w:t>
      </w:r>
    </w:p>
    <w:p>
      <w:r>
        <w:br w:type="page"/>
      </w:r>
    </w:p>
    <w:p>
      <w:pPr>
        <w:pStyle w:val="Heading1"/>
      </w:pPr>
      <w:r>
        <w:rPr>
          <w:rFonts w:ascii="微软雅黑" w:hAnsi="微软雅黑"/>
        </w:rPr>
        <w:t>连接数据</w:t>
      </w:r>
    </w:p>
    <w:p>
      <w:pPr>
        <w:spacing w:line="360" w:lineRule="auto" w:after="120"/>
      </w:pPr>
      <w:r>
        <w:rPr>
          <w:rFonts w:ascii="微软雅黑" w:hAnsi="微软雅黑"/>
          <w:sz w:val="21"/>
        </w:rPr>
        <w:t># 连接数据</w:t>
      </w:r>
    </w:p>
    <w:p>
      <w:pPr>
        <w:spacing w:line="360" w:lineRule="auto" w:after="120"/>
      </w:pPr>
      <w:r>
        <w:rPr>
          <w:rFonts w:ascii="微软雅黑" w:hAnsi="微软雅黑"/>
          <w:sz w:val="21"/>
        </w:rPr>
        <w:t>从 Foundry 中获取价值的第一步是将其连接到您的组织的数据源。Foundry 的数据连接工具支持全范围的标准企业数据源，包括基于云的 Object 存储、文件系统、数据库和数据仓库。</w:t>
      </w:r>
    </w:p>
    <w:p>
      <w:pPr>
        <w:spacing w:line="360" w:lineRule="auto" w:after="120"/>
      </w:pPr>
      <w:r>
        <w:rPr>
          <w:rFonts w:ascii="微软雅黑" w:hAnsi="微软雅黑"/>
          <w:sz w:val="21"/>
        </w:rPr>
        <w:t>根据您需要访问的数据类型，可以使用不同的 Foundry 应用以多种方式连接数据。</w:t>
      </w:r>
    </w:p>
    <w:p>
      <w:pPr>
        <w:pStyle w:val="Heading2"/>
      </w:pPr>
      <w:r>
        <w:rPr>
          <w:rFonts w:ascii="微软雅黑" w:hAnsi="微软雅黑"/>
        </w:rPr>
        <w:t>数据连接</w:t>
      </w:r>
    </w:p>
    <w:p>
      <w:pPr>
        <w:spacing w:line="360" w:lineRule="auto" w:after="120"/>
      </w:pPr>
      <w:r>
        <w:rPr>
          <w:rFonts w:ascii="微软雅黑" w:hAnsi="微软雅黑"/>
          <w:sz w:val="21"/>
        </w:rPr>
        <w:t>连接到源以运行批处理、流媒体、媒体和 CDC 同步并使用虚拟表。</w:t>
      </w:r>
    </w:p>
    <w:p>
      <w:pPr>
        <w:spacing w:line="360" w:lineRule="auto" w:after="120"/>
      </w:pPr>
      <w:r>
        <w:rPr>
          <w:rFonts w:ascii="微软雅黑" w:hAnsi="微软雅黑"/>
          <w:color w:val="0066CC"/>
          <w:sz w:val="21"/>
          <w:u w:val="single"/>
        </w:rPr>
        <w:t>数据连接</w:t>
      </w:r>
      <w:r>
        <w:rPr>
          <w:rFonts w:ascii="微软雅黑" w:hAnsi="微软雅黑"/>
          <w:sz w:val="21"/>
        </w:rPr>
        <w:t>框架设计用于随时间管理数据，通过使用数据集</w:t>
      </w:r>
      <w:r>
        <w:rPr>
          <w:rFonts w:ascii="微软雅黑" w:hAnsi="微软雅黑"/>
          <w:color w:val="0066CC"/>
          <w:sz w:val="21"/>
          <w:u w:val="single"/>
        </w:rPr>
        <w:t>交易</w:t>
      </w:r>
      <w:r>
        <w:rPr>
          <w:rFonts w:ascii="微软雅黑" w:hAnsi="微软雅黑"/>
          <w:sz w:val="21"/>
        </w:rPr>
        <w:t>管理的离散版本。该框架能够提供跨时间的数据版本的完整血统，使您了解哪些同步任务生成了给定数据集的哪些版本。在无法在每次同步时加载完整数据的情况下，它还支持仅同步所需的数据。</w:t>
      </w:r>
    </w:p>
    <w:p>
      <w:pPr>
        <w:spacing w:line="360" w:lineRule="auto" w:after="120"/>
      </w:pPr>
      <w:r>
        <w:rPr>
          <w:rFonts w:ascii="微软雅黑" w:hAnsi="微软雅黑"/>
          <w:sz w:val="21"/>
        </w:rPr>
        <w:t>数据连接中的细粒度安全性允许跨不同团队的联邦管理数据同步。同步集合，甚至单个数据同步，可以仅对特定团队（通过基于角色或分类的访问控制定义）可见或可编辑。了解更多关于</w:t>
      </w:r>
      <w:r>
        <w:rPr>
          <w:rFonts w:ascii="微软雅黑" w:hAnsi="微软雅黑"/>
          <w:color w:val="0066CC"/>
          <w:sz w:val="21"/>
          <w:u w:val="single"/>
        </w:rPr>
        <w:t>保护数据基础</w:t>
      </w:r>
      <w:r>
        <w:rPr>
          <w:rFonts w:ascii="微软雅黑" w:hAnsi="微软雅黑"/>
          <w:sz w:val="21"/>
        </w:rPr>
        <w:t>的信息。</w:t>
      </w:r>
    </w:p>
    <w:p>
      <w:pPr>
        <w:spacing w:line="360" w:lineRule="auto" w:after="120"/>
      </w:pPr>
      <w:r>
        <w:rPr>
          <w:rFonts w:ascii="微软雅黑" w:hAnsi="微软雅黑"/>
          <w:sz w:val="21"/>
        </w:rPr>
        <w:t>您可以独立于实际的同步定义管理同步元数据。这允许完全分支新的配置，在该分支中新的同步被隔离并在影响任何下游变换任务之前进行测试。</w:t>
      </w:r>
    </w:p>
    <w:p>
      <w:pPr>
        <w:pStyle w:val="Heading2"/>
      </w:pPr>
      <w:r>
        <w:rPr>
          <w:rFonts w:ascii="微软雅黑" w:hAnsi="微软雅黑"/>
        </w:rPr>
        <w:t>HyperAuto</w:t>
      </w:r>
    </w:p>
    <w:p>
      <w:pPr>
        <w:spacing w:line="360" w:lineRule="auto" w:after="120"/>
      </w:pPr>
      <w:r>
        <w:rPr>
          <w:rFonts w:ascii="微软雅黑" w:hAnsi="微软雅黑"/>
          <w:sz w:val="21"/>
        </w:rPr>
        <w:t>为了超越简单的数据同步解决方案，</w:t>
      </w:r>
      <w:r>
        <w:rPr>
          <w:rFonts w:ascii="微软雅黑" w:hAnsi="微软雅黑"/>
          <w:color w:val="0066CC"/>
          <w:sz w:val="21"/>
          <w:u w:val="single"/>
        </w:rPr>
        <w:t>Palantir HyperAuto</w:t>
      </w:r>
      <w:r>
        <w:rPr>
          <w:rFonts w:ascii="微软雅黑" w:hAnsi="微软雅黑"/>
          <w:sz w:val="21"/>
        </w:rPr>
        <w:t>实现了对软件定义数据集成 (SDDI) 的支持。该工具集使组织不仅可以连接到常见的 ERP 和 CRM 系统，还可以以空前的速度以编程方式生成清理、规范化和协调数据集的数据管道。然后，该数据资产可以导入</w:t>
      </w:r>
      <w:r>
        <w:rPr>
          <w:rFonts w:ascii="微软雅黑" w:hAnsi="微软雅黑"/>
          <w:color w:val="0066CC"/>
          <w:sz w:val="21"/>
          <w:u w:val="single"/>
        </w:rPr>
        <w:t>Ontology</w:t>
      </w:r>
      <w:r>
        <w:rPr>
          <w:rFonts w:ascii="微软雅黑" w:hAnsi="微软雅黑"/>
          <w:sz w:val="21"/>
        </w:rPr>
        <w:t>，将数据转化为操作价值。</w:t>
      </w:r>
    </w:p>
    <w:p>
      <w:pPr>
        <w:pStyle w:val="Heading2"/>
      </w:pPr>
      <w:r>
        <w:rPr>
          <w:rFonts w:ascii="微软雅黑" w:hAnsi="微软雅黑"/>
        </w:rPr>
        <w:t>外部变换</w:t>
      </w:r>
    </w:p>
    <w:p>
      <w:pPr>
        <w:spacing w:line="360" w:lineRule="auto" w:after="120"/>
      </w:pPr>
      <w:r>
        <w:rPr>
          <w:rFonts w:ascii="微软雅黑" w:hAnsi="微软雅黑"/>
          <w:sz w:val="21"/>
        </w:rPr>
        <w:t>使用 REST API 执行计划的同步并导出到外部系统。</w:t>
      </w:r>
    </w:p>
    <w:p>
      <w:pPr>
        <w:spacing w:line="360" w:lineRule="auto" w:after="120"/>
      </w:pPr>
      <w:r>
        <w:rPr>
          <w:rFonts w:ascii="微软雅黑" w:hAnsi="微软雅黑"/>
          <w:sz w:val="21"/>
        </w:rPr>
        <w:t>如果您想连接到外部来源以创建同步和导出数据，建议使用代码库来编写使用 REST API 的</w:t>
      </w:r>
      <w:r>
        <w:rPr>
          <w:rFonts w:ascii="微软雅黑" w:hAnsi="微软雅黑"/>
          <w:color w:val="0066CC"/>
          <w:sz w:val="21"/>
          <w:u w:val="single"/>
        </w:rPr>
        <w:t>外部 Python 变换</w:t>
      </w:r>
      <w:r>
        <w:rPr>
          <w:rFonts w:ascii="微软雅黑" w:hAnsi="微软雅黑"/>
          <w:sz w:val="21"/>
        </w:rPr>
        <w:t>。您还可以将数据集输入和媒体集输出添加到您的变换中。</w:t>
      </w:r>
    </w:p>
    <w:p>
      <w:r>
        <w:br w:type="page"/>
      </w:r>
    </w:p>
    <w:p>
      <w:pPr>
        <w:pStyle w:val="Heading1"/>
      </w:pPr>
      <w:r>
        <w:rPr>
          <w:rFonts w:ascii="微软雅黑" w:hAnsi="微软雅黑"/>
        </w:rPr>
        <w:t>什么是数据管道？</w:t>
      </w:r>
    </w:p>
    <w:p>
      <w:pPr>
        <w:spacing w:line="360" w:lineRule="auto" w:after="120"/>
      </w:pPr>
      <w:r>
        <w:rPr>
          <w:rFonts w:ascii="微软雅黑" w:hAnsi="微软雅黑"/>
          <w:sz w:val="21"/>
        </w:rPr>
        <w:t># 什么是数据管道？</w:t>
      </w:r>
    </w:p>
    <w:p>
      <w:pPr>
        <w:spacing w:line="360" w:lineRule="auto" w:after="120"/>
      </w:pPr>
      <w:r>
        <w:rPr>
          <w:rFonts w:ascii="微软雅黑" w:hAnsi="微软雅黑"/>
          <w:sz w:val="21"/>
        </w:rPr>
        <w:t>在Foundry中，数据集成的总体目标是提供您组织内客观现实的数字视图。实现这一目标通常需要从多个源系统同步数据，施加通用模式，合并数据集，并使团队能够在通用的数据基础上搭建应用案例。</w:t>
      </w:r>
    </w:p>
    <w:p>
      <w:pPr>
        <w:spacing w:line="360" w:lineRule="auto" w:after="120"/>
      </w:pPr>
      <w:r>
        <w:rPr>
          <w:rFonts w:ascii="微软雅黑" w:hAnsi="微软雅黑"/>
          <w:sz w:val="21"/>
        </w:rPr>
        <w:t>在这个背景下，术语“数据管道”广泛用于指代数据从源系统通过中间数据集流动，最终生成高质量的、经过整理的数据集，这些数据集可以结构化到</w:t>
      </w:r>
      <w:r>
        <w:rPr>
          <w:rFonts w:ascii="微软雅黑" w:hAnsi="微软雅黑"/>
          <w:color w:val="0066CC"/>
          <w:sz w:val="21"/>
          <w:u w:val="single"/>
        </w:rPr>
        <w:t>Ontology</w:t>
      </w:r>
      <w:r>
        <w:rPr>
          <w:rFonts w:ascii="微软雅黑" w:hAnsi="微软雅黑"/>
          <w:sz w:val="21"/>
        </w:rPr>
        <w:t>中或作为</w:t>
      </w:r>
      <w:r>
        <w:rPr>
          <w:rFonts w:ascii="微软雅黑" w:hAnsi="微软雅黑"/>
          <w:color w:val="0066CC"/>
          <w:sz w:val="21"/>
          <w:u w:val="single"/>
        </w:rPr>
        <w:t>机器学习</w:t>
      </w:r>
      <w:r>
        <w:rPr>
          <w:rFonts w:ascii="微软雅黑" w:hAnsi="微软雅黑"/>
          <w:sz w:val="21"/>
        </w:rPr>
        <w:t>和</w:t>
      </w:r>
      <w:r>
        <w:rPr>
          <w:rFonts w:ascii="微软雅黑" w:hAnsi="微软雅黑"/>
          <w:color w:val="0066CC"/>
          <w:sz w:val="21"/>
          <w:u w:val="single"/>
        </w:rPr>
        <w:t>分析</w:t>
      </w:r>
      <w:r>
        <w:rPr>
          <w:rFonts w:ascii="微软雅黑" w:hAnsi="微软雅黑"/>
          <w:sz w:val="21"/>
        </w:rPr>
        <w:t>工作流的基础。</w:t>
      </w:r>
    </w:p>
    <w:p>
      <w:pPr>
        <w:spacing w:line="360" w:lineRule="auto" w:after="120"/>
      </w:pPr>
      <w:r>
        <w:rPr>
          <w:rFonts w:ascii="微软雅黑" w:hAnsi="微软雅黑"/>
          <w:sz w:val="21"/>
        </w:rPr>
        <w:t>虽然在Foundry中，通过变换逻辑连接在一起的任何两个数据集都可以被视为管道，但实际上，我们所称的“数据管道”更加受限。通常情况下，管道有一个*所有权*的概念——由一个人或一组人负责监督管道，以确保数据定期和可靠地流过它，从而支持业务流程。</w:t>
      </w:r>
    </w:p>
    <w:p>
      <w:pPr>
        <w:spacing w:line="360" w:lineRule="auto" w:after="120"/>
      </w:pPr>
      <w:r>
        <w:rPr>
          <w:rFonts w:ascii="微软雅黑" w:hAnsi="微软雅黑"/>
          <w:sz w:val="21"/>
        </w:rPr>
        <w:t>除了所有权概念之外，优质的、生产就绪的数据管道还具备其他几个特征。我们将在本文档的其余部分探讨这些概念，并提供学习更多内容的链接：</w:t>
      </w:r>
    </w:p>
    <w:p>
      <w:pPr>
        <w:pStyle w:val="ListBullet"/>
        <w:spacing w:line="360" w:lineRule="auto" w:after="120"/>
      </w:pPr>
      <w:r>
        <w:rPr>
          <w:rFonts w:ascii="微软雅黑" w:hAnsi="微软雅黑"/>
          <w:color w:val="0066CC"/>
          <w:sz w:val="21"/>
          <w:u w:val="single"/>
        </w:rPr>
        <w:t>什么是数据管道？</w:t>
      </w:r>
    </w:p>
    <w:p>
      <w:pPr>
        <w:pStyle w:val="ListBullet"/>
        <w:spacing w:line="360" w:lineRule="auto" w:after="120"/>
      </w:pPr>
      <w:r>
        <w:rPr>
          <w:rFonts w:ascii="微软雅黑" w:hAnsi="微软雅黑"/>
          <w:color w:val="0066CC"/>
          <w:sz w:val="21"/>
          <w:u w:val="single"/>
        </w:rPr>
        <w:t>管道设置</w:t>
      </w:r>
    </w:p>
    <w:p>
      <w:pPr>
        <w:pStyle w:val="ListBullet"/>
        <w:spacing w:line="360" w:lineRule="auto" w:after="120"/>
      </w:pPr>
      <w:r>
        <w:rPr>
          <w:rFonts w:ascii="微软雅黑" w:hAnsi="微软雅黑"/>
          <w:color w:val="0066CC"/>
          <w:sz w:val="21"/>
          <w:u w:val="single"/>
        </w:rPr>
        <w:t>搭建调度</w:t>
      </w:r>
    </w:p>
    <w:p>
      <w:pPr>
        <w:pStyle w:val="ListBullet"/>
        <w:spacing w:line="360" w:lineRule="auto" w:after="120"/>
      </w:pPr>
      <w:r>
        <w:rPr>
          <w:rFonts w:ascii="微软雅黑" w:hAnsi="微软雅黑"/>
          <w:color w:val="0066CC"/>
          <w:sz w:val="21"/>
          <w:u w:val="single"/>
        </w:rPr>
        <w:t>数据质量</w:t>
      </w:r>
    </w:p>
    <w:p>
      <w:pPr>
        <w:pStyle w:val="ListBullet"/>
        <w:spacing w:line="360" w:lineRule="auto" w:after="120"/>
      </w:pPr>
      <w:r>
        <w:rPr>
          <w:rFonts w:ascii="微软雅黑" w:hAnsi="微软雅黑"/>
          <w:color w:val="0066CC"/>
          <w:sz w:val="21"/>
          <w:u w:val="single"/>
        </w:rPr>
        <w:t>安全和治理</w:t>
      </w:r>
    </w:p>
    <w:p>
      <w:pPr>
        <w:pStyle w:val="ListBullet"/>
        <w:spacing w:line="360" w:lineRule="auto" w:after="120"/>
      </w:pPr>
      <w:r>
        <w:rPr>
          <w:rFonts w:ascii="微软雅黑" w:hAnsi="微软雅黑"/>
          <w:color w:val="0066CC"/>
          <w:sz w:val="21"/>
          <w:u w:val="single"/>
        </w:rPr>
        <w:t>支持流程和文档</w:t>
      </w:r>
    </w:p>
    <w:p>
      <w:pPr>
        <w:spacing w:line="360" w:lineRule="auto" w:after="120"/>
      </w:pPr>
      <w:r>
        <w:rPr>
          <w:rFonts w:ascii="微软雅黑" w:hAnsi="微软雅黑"/>
          <w:sz w:val="21"/>
        </w:rPr>
        <w:t>除了所有管道共有的特性外，还需考虑根据数据规模、延迟要求和维护复杂性等因素为您的数据基础创建哪种类型的管道。在Foundry中，有三种主要类型的管道：批处理、增量和流式。</w:t>
      </w:r>
      <w:r>
        <w:rPr>
          <w:rFonts w:ascii="微软雅黑" w:hAnsi="微软雅黑"/>
          <w:color w:val="0066CC"/>
          <w:sz w:val="21"/>
          <w:u w:val="single"/>
        </w:rPr>
        <w:t>了解更多关于管道类型的信息。</w:t>
      </w:r>
    </w:p>
    <w:p>
      <w:pPr>
        <w:pStyle w:val="Heading2"/>
      </w:pPr>
      <w:r>
        <w:rPr>
          <w:rFonts w:ascii="微软雅黑" w:hAnsi="微软雅黑"/>
        </w:rPr>
        <w:t>管道设置</w:t>
      </w:r>
    </w:p>
    <w:p>
      <w:pPr>
        <w:spacing w:line="360" w:lineRule="auto" w:after="120"/>
      </w:pPr>
      <w:r>
        <w:rPr>
          <w:rFonts w:ascii="微软雅黑" w:hAnsi="微软雅黑"/>
          <w:sz w:val="21"/>
        </w:rPr>
        <w:t>Foundry的管道搭建器使用户能够通过简化的点选界面快速轻松地设置管道。使用管道搭建器，用户可以获得Git风格的更改管理、数据健康检查、多模式安全和细粒度数据审计的好处。</w:t>
      </w:r>
    </w:p>
    <w:p>
      <w:pPr>
        <w:spacing w:line="360" w:lineRule="auto" w:after="120"/>
      </w:pPr>
      <w:r>
        <w:rPr>
          <w:rFonts w:ascii="微软雅黑" w:hAnsi="微软雅黑"/>
          <w:sz w:val="21"/>
        </w:rPr>
        <w:t>技术用户可以比以往更快速地搭建和维护管道，专注于对其端到端管道和期望输出的声明性描述。此外，管道搭建器的点选、基于表单的界面使技术水平较低的用户能够通过简化的方法创建管道。</w:t>
      </w:r>
    </w:p>
    <w:p>
      <w:pPr>
        <w:pStyle w:val="ListBullet"/>
        <w:spacing w:line="360" w:lineRule="auto" w:after="120"/>
      </w:pPr>
      <w:r>
        <w:rPr>
          <w:rFonts w:ascii="微软雅黑" w:hAnsi="微软雅黑"/>
          <w:sz w:val="21"/>
        </w:rPr>
        <w:t>学习如何</w:t>
      </w:r>
      <w:r>
        <w:rPr>
          <w:rFonts w:ascii="微软雅黑" w:hAnsi="微软雅黑"/>
          <w:color w:val="0066CC"/>
          <w:sz w:val="21"/>
          <w:u w:val="single"/>
        </w:rPr>
        <w:t>使用管道搭建器搭建管道</w:t>
      </w:r>
      <w:r>
        <w:rPr>
          <w:rFonts w:ascii="微软雅黑" w:hAnsi="微软雅黑"/>
          <w:sz w:val="21"/>
        </w:rPr>
        <w:t>。</w:t>
      </w:r>
    </w:p>
    <w:p>
      <w:pPr>
        <w:pStyle w:val="Heading2"/>
      </w:pPr>
      <w:r>
        <w:rPr>
          <w:rFonts w:ascii="微软雅黑" w:hAnsi="微软雅黑"/>
        </w:rPr>
        <w:t>搭建调度</w:t>
      </w:r>
    </w:p>
    <w:p>
      <w:pPr>
        <w:spacing w:line="360" w:lineRule="auto" w:after="120"/>
      </w:pPr>
      <w:r>
        <w:rPr>
          <w:rFonts w:ascii="微软雅黑" w:hAnsi="微软雅黑"/>
          <w:sz w:val="21"/>
        </w:rPr>
        <w:t>简单地说，一系列数据变换必须定期运行才能被视为数据管道。在Foundry中定义搭建</w:t>
      </w:r>
      <w:r>
        <w:rPr>
          <w:rFonts w:ascii="微软雅黑" w:hAnsi="微软雅黑"/>
          <w:color w:val="0066CC"/>
          <w:sz w:val="21"/>
          <w:u w:val="single"/>
        </w:rPr>
        <w:t>调度</w:t>
      </w:r>
      <w:r>
        <w:rPr>
          <w:rFonts w:ascii="微软雅黑" w:hAnsi="微软雅黑"/>
          <w:sz w:val="21"/>
        </w:rPr>
        <w:t>是构建管道的基本步骤，因为下游数据消费者期望数据能够定期更新。数据通过管道流动的频率受组织需求的影响：某些管道可能仅每周或每天运行，而其他管道则可能每小时甚至更频繁地运行。</w:t>
      </w:r>
    </w:p>
    <w:p>
      <w:pPr>
        <w:spacing w:line="360" w:lineRule="auto" w:after="120"/>
      </w:pPr>
      <w:r>
        <w:rPr>
          <w:rFonts w:ascii="微软雅黑" w:hAnsi="微软雅黑"/>
          <w:sz w:val="21"/>
        </w:rPr>
        <w:t>以下资源可以帮助您开始在Foundry中调度搭建：</w:t>
      </w:r>
    </w:p>
    <w:p>
      <w:pPr>
        <w:pStyle w:val="ListBullet"/>
        <w:spacing w:line="360" w:lineRule="auto" w:after="120"/>
      </w:pPr>
      <w:r>
        <w:rPr>
          <w:rFonts w:ascii="微软雅黑" w:hAnsi="微软雅黑"/>
          <w:sz w:val="21"/>
        </w:rPr>
        <w:t>学习如何</w:t>
      </w:r>
      <w:r>
        <w:rPr>
          <w:rFonts w:ascii="微软雅黑" w:hAnsi="微软雅黑"/>
          <w:color w:val="0066CC"/>
          <w:sz w:val="21"/>
          <w:u w:val="single"/>
        </w:rPr>
        <w:t>创建一个调度</w:t>
      </w:r>
      <w:r>
        <w:rPr>
          <w:rFonts w:ascii="微软雅黑" w:hAnsi="微软雅黑"/>
          <w:sz w:val="21"/>
        </w:rPr>
        <w:t>。</w:t>
      </w:r>
    </w:p>
    <w:p>
      <w:pPr>
        <w:pStyle w:val="ListBullet"/>
        <w:spacing w:line="360" w:lineRule="auto" w:after="120"/>
      </w:pPr>
      <w:r>
        <w:rPr>
          <w:rFonts w:ascii="微软雅黑" w:hAnsi="微软雅黑"/>
          <w:sz w:val="21"/>
        </w:rPr>
        <w:t>了解</w:t>
      </w:r>
      <w:r>
        <w:rPr>
          <w:rFonts w:ascii="微软雅黑" w:hAnsi="微软雅黑"/>
          <w:color w:val="0066CC"/>
          <w:sz w:val="21"/>
          <w:u w:val="single"/>
        </w:rPr>
        <w:t>调度最佳实践</w:t>
      </w:r>
      <w:r>
        <w:rPr>
          <w:rFonts w:ascii="微软雅黑" w:hAnsi="微软雅黑"/>
          <w:sz w:val="21"/>
        </w:rPr>
        <w:t>。</w:t>
      </w:r>
    </w:p>
    <w:p>
      <w:pPr>
        <w:pStyle w:val="ListBullet"/>
        <w:spacing w:line="360" w:lineRule="auto" w:after="120"/>
      </w:pPr>
      <w:r>
        <w:rPr>
          <w:rFonts w:ascii="微软雅黑" w:hAnsi="微软雅黑"/>
          <w:sz w:val="21"/>
        </w:rPr>
        <w:t>学习如何</w:t>
      </w:r>
      <w:r>
        <w:rPr>
          <w:rFonts w:ascii="微软雅黑" w:hAnsi="微软雅黑"/>
          <w:color w:val="0066CC"/>
          <w:sz w:val="21"/>
          <w:u w:val="single"/>
        </w:rPr>
        <w:t>排除现有调度的故障</w:t>
      </w:r>
      <w:r>
        <w:rPr>
          <w:rFonts w:ascii="微软雅黑" w:hAnsi="微软雅黑"/>
          <w:sz w:val="21"/>
        </w:rPr>
        <w:t>。</w:t>
      </w:r>
    </w:p>
    <w:p>
      <w:pPr>
        <w:pStyle w:val="Heading2"/>
      </w:pPr>
      <w:r>
        <w:rPr>
          <w:rFonts w:ascii="微软雅黑" w:hAnsi="微软雅黑"/>
        </w:rPr>
        <w:t>数据质量</w:t>
      </w:r>
    </w:p>
    <w:p>
      <w:pPr>
        <w:spacing w:line="360" w:lineRule="auto" w:after="120"/>
      </w:pPr>
      <w:r>
        <w:rPr>
          <w:rFonts w:ascii="微软雅黑" w:hAnsi="微软雅黑"/>
          <w:sz w:val="21"/>
        </w:rPr>
        <w:t>在定义管道的初始阶段，我们建议在每一步都经常检查输入和输出的质量。从源系统同步的数据通常包含未定义的值以及格式不佳或不一致的数据。清理和规范化数据是搭建管道过程的核心部分。</w:t>
      </w:r>
    </w:p>
    <w:p>
      <w:pPr>
        <w:spacing w:line="360" w:lineRule="auto" w:after="120"/>
      </w:pPr>
      <w:r>
        <w:rPr>
          <w:rFonts w:ascii="微软雅黑" w:hAnsi="微软雅黑"/>
          <w:sz w:val="21"/>
        </w:rPr>
        <w:t>Foundry中提供了检查数据集假设的工具：</w:t>
      </w:r>
    </w:p>
    <w:p>
      <w:pPr>
        <w:pStyle w:val="ListBullet"/>
        <w:spacing w:line="360" w:lineRule="auto" w:after="120"/>
      </w:pPr>
      <w:r>
        <w:rPr>
          <w:rFonts w:ascii="微软雅黑" w:hAnsi="微软雅黑"/>
          <w:color w:val="0066CC"/>
          <w:sz w:val="21"/>
          <w:u w:val="single"/>
        </w:rPr>
        <w:t>数据集预览</w:t>
      </w:r>
      <w:r>
        <w:rPr>
          <w:rFonts w:ascii="微软雅黑" w:hAnsi="微软雅黑"/>
          <w:sz w:val="21"/>
        </w:rPr>
        <w:t>支持计算数据集任意列的统计信息，并筛选到行的子集以快速检查预期。</w:t>
      </w:r>
    </w:p>
    <w:p>
      <w:pPr>
        <w:pStyle w:val="ListBullet"/>
        <w:spacing w:line="360" w:lineRule="auto" w:after="120"/>
      </w:pPr>
      <w:r>
        <w:rPr>
          <w:rFonts w:ascii="微软雅黑" w:hAnsi="微软雅黑"/>
          <w:sz w:val="21"/>
        </w:rPr>
        <w:t>代码库对</w:t>
      </w:r>
      <w:r>
        <w:rPr>
          <w:rFonts w:ascii="微软雅黑" w:hAnsi="微软雅黑"/>
          <w:color w:val="0066CC"/>
          <w:sz w:val="21"/>
          <w:u w:val="single"/>
        </w:rPr>
        <w:t>调试变换</w:t>
      </w:r>
      <w:r>
        <w:rPr>
          <w:rFonts w:ascii="微软雅黑" w:hAnsi="微软雅黑"/>
          <w:sz w:val="21"/>
        </w:rPr>
        <w:t>的支持可用于检查输入数据集在编写变换逻辑时是否按预期结构化。</w:t>
      </w:r>
    </w:p>
    <w:p>
      <w:pPr>
        <w:pStyle w:val="ListBullet"/>
        <w:spacing w:line="360" w:lineRule="auto" w:after="120"/>
      </w:pPr>
      <w:r>
        <w:rPr>
          <w:rFonts w:ascii="微软雅黑" w:hAnsi="微软雅黑"/>
          <w:sz w:val="21"/>
        </w:rPr>
        <w:t>Foundry分析套件中的应用程序，特别是</w:t>
      </w:r>
      <w:r>
        <w:rPr>
          <w:rFonts w:ascii="微软雅黑" w:hAnsi="微软雅黑"/>
          <w:color w:val="0066CC"/>
          <w:sz w:val="21"/>
          <w:u w:val="single"/>
        </w:rPr>
        <w:t>Contour</w:t>
      </w:r>
      <w:r>
        <w:rPr>
          <w:rFonts w:ascii="微软雅黑" w:hAnsi="微软雅黑"/>
          <w:sz w:val="21"/>
        </w:rPr>
        <w:t>，对于以点选方式验证数据集的假设非常有帮助。</w:t>
      </w:r>
    </w:p>
    <w:p>
      <w:pPr>
        <w:spacing w:line="360" w:lineRule="auto" w:after="120"/>
      </w:pPr>
      <w:r>
        <w:rPr>
          <w:rFonts w:ascii="微软雅黑" w:hAnsi="微软雅黑"/>
          <w:sz w:val="21"/>
        </w:rPr>
        <w:t>在您的管道建立之后，</w:t>
      </w:r>
      <w:r>
        <w:rPr>
          <w:rFonts w:ascii="微软雅黑" w:hAnsi="微软雅黑"/>
          <w:color w:val="0066CC"/>
          <w:sz w:val="21"/>
          <w:u w:val="single"/>
        </w:rPr>
        <w:t>健康检查</w:t>
      </w:r>
      <w:r>
        <w:rPr>
          <w:rFonts w:ascii="微软雅黑" w:hAnsi="微软雅黑"/>
          <w:sz w:val="21"/>
        </w:rPr>
        <w:t>是验证数据在时间上保持高质量的推荐方法。以下是一些开始健康检查的资源：</w:t>
      </w:r>
    </w:p>
    <w:p>
      <w:pPr>
        <w:pStyle w:val="ListBullet"/>
        <w:spacing w:line="360" w:lineRule="auto" w:after="120"/>
      </w:pPr>
      <w:r>
        <w:rPr>
          <w:rFonts w:ascii="微软雅黑" w:hAnsi="微软雅黑"/>
          <w:sz w:val="21"/>
        </w:rPr>
        <w:t>了解</w:t>
      </w:r>
      <w:r>
        <w:rPr>
          <w:rFonts w:ascii="微软雅黑" w:hAnsi="微软雅黑"/>
          <w:color w:val="0066CC"/>
          <w:sz w:val="21"/>
          <w:u w:val="single"/>
        </w:rPr>
        <w:t>推荐的健康检查</w:t>
      </w:r>
      <w:r>
        <w:rPr>
          <w:rFonts w:ascii="微软雅黑" w:hAnsi="微软雅黑"/>
          <w:sz w:val="21"/>
        </w:rPr>
        <w:t>。</w:t>
      </w:r>
    </w:p>
    <w:p>
      <w:pPr>
        <w:pStyle w:val="ListBullet"/>
        <w:spacing w:line="360" w:lineRule="auto" w:after="120"/>
      </w:pPr>
      <w:r>
        <w:rPr>
          <w:rFonts w:ascii="微软雅黑" w:hAnsi="微软雅黑"/>
          <w:sz w:val="21"/>
        </w:rPr>
        <w:t>阅读</w:t>
      </w:r>
      <w:r>
        <w:rPr>
          <w:rFonts w:ascii="微软雅黑" w:hAnsi="微软雅黑"/>
          <w:color w:val="0066CC"/>
          <w:sz w:val="21"/>
          <w:u w:val="single"/>
        </w:rPr>
        <w:t>检查参考</w:t>
      </w:r>
      <w:r>
        <w:rPr>
          <w:rFonts w:ascii="微软雅黑" w:hAnsi="微软雅黑"/>
          <w:sz w:val="21"/>
        </w:rPr>
        <w:t>以了解可用检查的范围。</w:t>
      </w:r>
    </w:p>
    <w:p>
      <w:pPr>
        <w:pStyle w:val="Heading2"/>
      </w:pPr>
      <w:r>
        <w:rPr>
          <w:rFonts w:ascii="微软雅黑" w:hAnsi="微软雅黑"/>
        </w:rPr>
        <w:t>安全和治理</w:t>
      </w:r>
    </w:p>
    <w:p>
      <w:pPr>
        <w:spacing w:line="360" w:lineRule="auto" w:after="120"/>
      </w:pPr>
      <w:r>
        <w:rPr>
          <w:rFonts w:ascii="微软雅黑" w:hAnsi="微软雅黑"/>
          <w:sz w:val="21"/>
        </w:rPr>
        <w:t>Foundry的平台安全原语为保护数据基础和确保敏感数据得到适当处理提供了最佳的能力。</w:t>
      </w:r>
      <w:r>
        <w:rPr>
          <w:rFonts w:ascii="微软雅黑" w:hAnsi="微软雅黑"/>
          <w:color w:val="0066CC"/>
          <w:sz w:val="21"/>
          <w:u w:val="single"/>
        </w:rPr>
        <w:t>项目</w:t>
      </w:r>
      <w:r>
        <w:rPr>
          <w:rFonts w:ascii="微软雅黑" w:hAnsi="微软雅黑"/>
          <w:sz w:val="21"/>
        </w:rPr>
        <w:t>和</w:t>
      </w:r>
      <w:r>
        <w:rPr>
          <w:rFonts w:ascii="微软雅黑" w:hAnsi="微软雅黑"/>
          <w:color w:val="0066CC"/>
          <w:sz w:val="21"/>
          <w:u w:val="single"/>
        </w:rPr>
        <w:t>权限标记</w:t>
      </w:r>
      <w:r>
        <w:rPr>
          <w:rFonts w:ascii="微软雅黑" w:hAnsi="微软雅黑"/>
          <w:sz w:val="21"/>
        </w:rPr>
        <w:t>的跨领域概念分别支持自由裁量和强制控制，可用于满足全面的治理要求。</w:t>
      </w:r>
    </w:p>
    <w:p>
      <w:pPr>
        <w:spacing w:line="360" w:lineRule="auto" w:after="120"/>
      </w:pPr>
      <w:r>
        <w:rPr>
          <w:rFonts w:ascii="微软雅黑" w:hAnsi="微软雅黑"/>
          <w:sz w:val="21"/>
        </w:rPr>
        <w:t>要了解有关如何在您的管道中安全处理数据的更多信息，请参考以下部分：</w:t>
      </w:r>
    </w:p>
    <w:p>
      <w:pPr>
        <w:pStyle w:val="ListBullet"/>
        <w:spacing w:line="360" w:lineRule="auto" w:after="120"/>
      </w:pPr>
      <w:r>
        <w:rPr>
          <w:rFonts w:ascii="微软雅黑" w:hAnsi="微软雅黑"/>
          <w:color w:val="0066CC"/>
          <w:sz w:val="21"/>
          <w:u w:val="single"/>
        </w:rPr>
        <w:t>推荐的项目结构</w:t>
      </w:r>
      <w:r>
        <w:rPr>
          <w:rFonts w:ascii="微软雅黑" w:hAnsi="微软雅黑"/>
          <w:sz w:val="21"/>
        </w:rPr>
        <w:t>提供了一个适用于大多数管道的简单框架。</w:t>
      </w:r>
    </w:p>
    <w:p>
      <w:pPr>
        <w:pStyle w:val="ListBullet"/>
        <w:spacing w:line="360" w:lineRule="auto" w:after="120"/>
      </w:pPr>
      <w:r>
        <w:rPr>
          <w:rFonts w:ascii="微软雅黑" w:hAnsi="微软雅黑"/>
          <w:color w:val="0066CC"/>
          <w:sz w:val="21"/>
          <w:u w:val="single"/>
        </w:rPr>
        <w:t>保护数据基础</w:t>
      </w:r>
      <w:r>
        <w:rPr>
          <w:rFonts w:ascii="微软雅黑" w:hAnsi="微软雅黑"/>
          <w:sz w:val="21"/>
        </w:rPr>
        <w:t>通过一个端到端的示例介绍了最佳实践。</w:t>
      </w:r>
    </w:p>
    <w:p>
      <w:pPr>
        <w:pStyle w:val="ListBullet"/>
        <w:spacing w:line="360" w:lineRule="auto" w:after="120"/>
      </w:pPr>
      <w:r>
        <w:rPr>
          <w:rFonts w:ascii="微软雅黑" w:hAnsi="微软雅黑"/>
          <w:color w:val="0066CC"/>
          <w:sz w:val="21"/>
          <w:u w:val="single"/>
        </w:rPr>
        <w:t>保护敏感数据</w:t>
      </w:r>
      <w:r>
        <w:rPr>
          <w:rFonts w:ascii="微软雅黑" w:hAnsi="微软雅黑"/>
          <w:sz w:val="21"/>
        </w:rPr>
        <w:t>描述了如何处理高度敏感的数据，如个人身份信息或PII。</w:t>
      </w:r>
    </w:p>
    <w:p>
      <w:pPr>
        <w:pStyle w:val="Heading2"/>
      </w:pPr>
      <w:r>
        <w:rPr>
          <w:rFonts w:ascii="微软雅黑" w:hAnsi="微软雅黑"/>
        </w:rPr>
        <w:t>支持流程和文档</w:t>
      </w:r>
    </w:p>
    <w:p>
      <w:pPr>
        <w:spacing w:line="360" w:lineRule="auto" w:after="120"/>
      </w:pPr>
      <w:r>
        <w:rPr>
          <w:rFonts w:ascii="微软雅黑" w:hAnsi="微软雅黑"/>
          <w:sz w:val="21"/>
        </w:rPr>
        <w:t>一旦管道按照上述指南发布到生产中，从组织的角度考虑管道的长期性就很重要。管道维护的支持流程应详细制定，期望值应明确定义，并应提供文档，以便即使在团队之间移交时，管道仍能保持高质量。</w:t>
      </w:r>
    </w:p>
    <w:p>
      <w:pPr>
        <w:spacing w:line="360" w:lineRule="auto" w:after="120"/>
      </w:pPr>
      <w:r>
        <w:rPr>
          <w:rFonts w:ascii="微软雅黑" w:hAnsi="微软雅黑"/>
          <w:sz w:val="21"/>
        </w:rPr>
        <w:t>了解更多关于这些最佳实践的信息：</w:t>
      </w:r>
    </w:p>
    <w:p>
      <w:pPr>
        <w:pStyle w:val="ListBullet"/>
        <w:spacing w:line="360" w:lineRule="auto" w:after="120"/>
      </w:pPr>
      <w:r>
        <w:rPr>
          <w:rFonts w:ascii="微软雅黑" w:hAnsi="微软雅黑"/>
          <w:color w:val="0066CC"/>
          <w:sz w:val="21"/>
          <w:u w:val="single"/>
        </w:rPr>
        <w:t>管道定义和期望</w:t>
      </w:r>
    </w:p>
    <w:p>
      <w:pPr>
        <w:pStyle w:val="ListBullet"/>
        <w:spacing w:line="360" w:lineRule="auto" w:after="120"/>
      </w:pPr>
      <w:r>
        <w:rPr>
          <w:rFonts w:ascii="微软雅黑" w:hAnsi="微软雅黑"/>
          <w:color w:val="0066CC"/>
          <w:sz w:val="21"/>
          <w:u w:val="single"/>
        </w:rPr>
        <w:t>设置支持流程</w:t>
      </w:r>
    </w:p>
    <w:p>
      <w:r>
        <w:br w:type="page"/>
      </w:r>
    </w:p>
    <w:p>
      <w:pPr>
        <w:pStyle w:val="Heading1"/>
      </w:pPr>
      <w:r>
        <w:rPr>
          <w:rFonts w:ascii="微软雅黑" w:hAnsi="微软雅黑"/>
        </w:rPr>
        <w:t>数据集</w:t>
      </w:r>
    </w:p>
    <w:p>
      <w:pPr>
        <w:spacing w:line="360" w:lineRule="auto" w:after="120"/>
      </w:pPr>
      <w:r>
        <w:rPr>
          <w:rFonts w:ascii="微软雅黑" w:hAnsi="微软雅黑"/>
          <w:sz w:val="21"/>
        </w:rPr>
        <w:t># 数据集</w:t>
      </w:r>
    </w:p>
    <w:p>
      <w:r>
        <w:rPr>
          <w:rFonts w:ascii="微软雅黑" w:hAnsi="微软雅黑"/>
          <w:b/>
        </w:rPr>
        <w:t>数据集</w:t>
      </w:r>
      <w:r>
        <w:rPr>
          <w:rFonts w:ascii="微软雅黑" w:hAnsi="微软雅黑"/>
        </w:rPr>
        <w:t>：是数据从进入Foundry到映射到[Ontology](/zh/foundry/ontology/overview/)时最基本的表示形式。从根本上说，数据集是围绕存储在[支持文件系统](#backing-filesystem)中的一组**文件**的包装。使用Foundry数据集的好处在于它们提供了权限管理、模式管理、版本控制和随时间更新的集成支持。我们将在本文档的其余部分探讨此功能的基本概念。</w:t>
      </w:r>
    </w:p>
    <w:p>
      <w:pPr>
        <w:spacing w:line="360" w:lineRule="auto" w:after="120"/>
      </w:pPr>
      <w:r>
        <w:rPr>
          <w:rFonts w:ascii="微软雅黑" w:hAnsi="微软雅黑"/>
          <w:sz w:val="21"/>
        </w:rPr>
        <w:t>在Foundry的数据集成层中，数据集用于存储和表示所有类型的数据——结构化、非结构化和半结构化：</w:t>
      </w:r>
    </w:p>
    <w:p>
      <w:pPr>
        <w:pStyle w:val="ListBullet"/>
        <w:spacing w:line="360" w:lineRule="auto" w:after="120"/>
      </w:pPr>
      <w:r>
        <w:rPr>
          <w:rFonts w:ascii="微软雅黑" w:hAnsi="微软雅黑"/>
          <w:sz w:val="21"/>
        </w:rPr>
        <w:t>*结构化*（表格）数据由包含表格数据的开源格式（如</w:t>
      </w:r>
      <w:r>
        <w:rPr>
          <w:rFonts w:ascii="微软雅黑" w:hAnsi="微软雅黑"/>
          <w:color w:val="0066CC"/>
          <w:sz w:val="21"/>
          <w:u w:val="single"/>
        </w:rPr>
        <w:t>Parquet ↗</w:t>
      </w:r>
      <w:r>
        <w:rPr>
          <w:rFonts w:ascii="微软雅黑" w:hAnsi="微软雅黑"/>
          <w:sz w:val="21"/>
        </w:rPr>
        <w:t>）的文件组成，以及关于数据集中的列的元数据。此元数据与数据集一起存储为</w:t>
      </w:r>
      <w:r>
        <w:rPr>
          <w:rFonts w:ascii="微软雅黑" w:hAnsi="微软雅黑"/>
          <w:color w:val="0066CC"/>
          <w:sz w:val="21"/>
          <w:u w:val="single"/>
        </w:rPr>
        <w:t>模式</w:t>
      </w:r>
      <w:r>
        <w:rPr>
          <w:rFonts w:ascii="微软雅黑" w:hAnsi="微软雅黑"/>
          <w:sz w:val="21"/>
        </w:rPr>
        <w:t>。</w:t>
      </w:r>
    </w:p>
    <w:p>
      <w:pPr>
        <w:pStyle w:val="ListBullet"/>
        <w:spacing w:line="360" w:lineRule="auto" w:after="120"/>
      </w:pPr>
      <w:r>
        <w:rPr>
          <w:rFonts w:ascii="微软雅黑" w:hAnsi="微软雅黑"/>
          <w:sz w:val="21"/>
        </w:rPr>
        <w:t>*非结构化*数据集包括图像、视频或PDF等文件，但没有关联的模式。</w:t>
      </w:r>
    </w:p>
    <w:p>
      <w:pPr>
        <w:pStyle w:val="ListBullet"/>
        <w:spacing w:line="360" w:lineRule="auto" w:after="120"/>
      </w:pPr>
      <w:r>
        <w:rPr>
          <w:rFonts w:ascii="微软雅黑" w:hAnsi="微软雅黑"/>
          <w:sz w:val="21"/>
        </w:rPr>
        <w:t>*半结构化*数据集包含XML或JSON等文件格式。虽然可以将模式应用于这些文件格式，但更倾向于在下游数据变换中</w:t>
      </w:r>
      <w:r>
        <w:rPr>
          <w:rFonts w:ascii="微软雅黑" w:hAnsi="微软雅黑"/>
          <w:color w:val="0066CC"/>
          <w:sz w:val="21"/>
          <w:u w:val="single"/>
        </w:rPr>
        <w:t>推断表格模式</w:t>
      </w:r>
      <w:r>
        <w:rPr>
          <w:rFonts w:ascii="微软雅黑" w:hAnsi="微软雅黑"/>
          <w:sz w:val="21"/>
        </w:rPr>
        <w:t>，以提高性能和易用性。</w:t>
      </w:r>
    </w:p>
    <w:p>
      <w:pPr>
        <w:pStyle w:val="Heading2"/>
      </w:pPr>
      <w:r>
        <w:rPr>
          <w:rFonts w:ascii="微软雅黑" w:hAnsi="微软雅黑"/>
        </w:rPr>
        <w:t>事务</w:t>
      </w:r>
    </w:p>
    <w:p>
      <w:pPr>
        <w:spacing w:line="360" w:lineRule="auto" w:after="120"/>
      </w:pPr>
      <w:r>
        <w:rPr>
          <w:rFonts w:ascii="微软雅黑" w:hAnsi="微软雅黑"/>
          <w:sz w:val="21"/>
        </w:rPr>
        <w:t>数据集被设计为随时间更改。当您在Foundry中打开数据集并看到行和列时，您实际上看到的是最新的</w:t>
      </w:r>
      <w:r>
        <w:rPr>
          <w:rFonts w:ascii="微软雅黑" w:hAnsi="微软雅黑"/>
          <w:color w:val="0066CC"/>
          <w:sz w:val="21"/>
          <w:u w:val="single"/>
        </w:rPr>
        <w:t>*数据集视图*</w:t>
      </w:r>
      <w:r>
        <w:rPr>
          <w:rFonts w:ascii="微软雅黑" w:hAnsi="微软雅黑"/>
          <w:sz w:val="21"/>
        </w:rPr>
        <w:t>。</w:t>
      </w:r>
    </w:p>
    <w:p>
      <w:pPr>
        <w:spacing w:line="360" w:lineRule="auto" w:after="120"/>
      </w:pPr>
      <w:r>
        <w:rPr>
          <w:rFonts w:ascii="微软雅黑" w:hAnsi="微软雅黑"/>
          <w:sz w:val="21"/>
        </w:rPr>
        <w:t>作为终端用户，您通常会使用</w:t>
      </w:r>
      <w:r>
        <w:rPr>
          <w:rFonts w:ascii="微软雅黑" w:hAnsi="微软雅黑"/>
          <w:color w:val="0066CC"/>
          <w:sz w:val="21"/>
          <w:u w:val="single"/>
        </w:rPr>
        <w:t>搭建</w:t>
      </w:r>
      <w:r>
        <w:rPr>
          <w:rFonts w:ascii="微软雅黑" w:hAnsi="微软雅黑"/>
          <w:sz w:val="21"/>
        </w:rPr>
        <w:t>来修改数据集，允许您根据指定的逻辑更新数据集的内容。然而，在幕后，数据集是通过</w:t>
      </w:r>
      <w:r>
        <w:rPr>
          <w:rFonts w:ascii="微软雅黑" w:hAnsi="微软雅黑"/>
          <w:b/>
          <w:sz w:val="21"/>
        </w:rPr>
        <w:t>事务</w:t>
      </w:r>
      <w:r>
        <w:rPr>
          <w:rFonts w:ascii="微软雅黑" w:hAnsi="微软雅黑"/>
          <w:sz w:val="21"/>
        </w:rPr>
        <w:t>随时间更新的，这些事务代表数据集中文件的修改。事务具有简单的生命周期：</w:t>
      </w:r>
    </w:p>
    <w:p>
      <w:pPr>
        <w:pStyle w:val="ListBullet"/>
        <w:spacing w:line="360" w:lineRule="auto" w:after="120"/>
      </w:pPr>
      <w:r>
        <w:rPr>
          <w:rFonts w:ascii="微软雅黑" w:hAnsi="微软雅黑"/>
          <w:sz w:val="21"/>
        </w:rPr>
        <w:t>事务*开始*后，它处于</w:t>
      </w:r>
      <w:r>
        <w:rPr>
          <w:rFonts w:ascii="Consolas" w:hAnsi="Consolas"/>
          <w:color w:val="B43C3C"/>
          <w:sz w:val="18"/>
        </w:rPr>
        <w:t>OPEN</w:t>
      </w:r>
      <w:r>
        <w:rPr>
          <w:rFonts w:ascii="微软雅黑" w:hAnsi="微软雅黑"/>
          <w:sz w:val="21"/>
        </w:rPr>
        <w:t>状态。在此状态下，可以在数据集的支持文件系统中打开和写入文件。</w:t>
      </w:r>
    </w:p>
    <w:p>
      <w:pPr>
        <w:pStyle w:val="ListBullet"/>
        <w:spacing w:line="360" w:lineRule="auto" w:after="120"/>
      </w:pPr>
      <w:r>
        <w:rPr>
          <w:rFonts w:ascii="微软雅黑" w:hAnsi="微软雅黑"/>
          <w:sz w:val="21"/>
        </w:rPr>
        <w:t>事务可以*提交*，使其进入</w:t>
      </w:r>
      <w:r>
        <w:rPr>
          <w:rFonts w:ascii="Consolas" w:hAnsi="Consolas"/>
          <w:color w:val="B43C3C"/>
          <w:sz w:val="18"/>
        </w:rPr>
        <w:t>COMMITTED</w:t>
      </w:r>
      <w:r>
        <w:rPr>
          <w:rFonts w:ascii="微软雅黑" w:hAnsi="微软雅黑"/>
          <w:sz w:val="21"/>
        </w:rPr>
        <w:t>状态，任何已写入的文件现在都在最新的数据集视图中。</w:t>
      </w:r>
    </w:p>
    <w:p>
      <w:pPr>
        <w:pStyle w:val="ListBullet"/>
        <w:spacing w:line="360" w:lineRule="auto" w:after="120"/>
      </w:pPr>
      <w:r>
        <w:rPr>
          <w:rFonts w:ascii="微软雅黑" w:hAnsi="微软雅黑"/>
          <w:sz w:val="21"/>
        </w:rPr>
        <w:t>事务可以*中止*，使其进入</w:t>
      </w:r>
      <w:r>
        <w:rPr>
          <w:rFonts w:ascii="Consolas" w:hAnsi="Consolas"/>
          <w:color w:val="B43C3C"/>
          <w:sz w:val="18"/>
        </w:rPr>
        <w:t>ABORTED</w:t>
      </w:r>
      <w:r>
        <w:rPr>
          <w:rFonts w:ascii="微软雅黑" w:hAnsi="微软雅黑"/>
          <w:sz w:val="21"/>
        </w:rPr>
        <w:t>状态。在事务期间写入的任何文件都将被忽略。</w:t>
      </w:r>
    </w:p>
    <w:p>
      <w:pPr>
        <w:spacing w:line="360" w:lineRule="auto" w:after="120"/>
      </w:pPr>
      <w:r>
        <w:rPr>
          <w:rFonts w:ascii="微软雅黑" w:hAnsi="微软雅黑"/>
          <w:sz w:val="21"/>
        </w:rPr>
        <w:t>如果您是一名软件工程师，您可能熟悉Git。数据集事务是Foundry对数据版本控制的支持基础，有时被称为“数据的Git”。事务类似于Git中的*提交*：对数据集内容的原子更改。</w:t>
      </w:r>
    </w:p>
    <w:p>
      <w:pPr>
        <w:pStyle w:val="Heading3"/>
      </w:pPr>
      <w:r>
        <w:rPr>
          <w:rFonts w:ascii="微软雅黑" w:hAnsi="微软雅黑"/>
        </w:rPr>
        <w:t>事务类型</w:t>
      </w:r>
    </w:p>
    <w:p>
      <w:pPr>
        <w:spacing w:line="360" w:lineRule="auto" w:after="120"/>
      </w:pPr>
      <w:r>
        <w:rPr>
          <w:rFonts w:ascii="微软雅黑" w:hAnsi="微软雅黑"/>
          <w:sz w:val="21"/>
        </w:rPr>
        <w:t>在事务中修改数据集文件的方式取决于事务类型。有四种可能的事务类型：</w:t>
      </w:r>
      <w:r>
        <w:rPr>
          <w:rFonts w:ascii="Consolas" w:hAnsi="Consolas"/>
          <w:color w:val="B43C3C"/>
          <w:sz w:val="18"/>
        </w:rPr>
        <w:t>SNAPSHOT</w:t>
      </w:r>
      <w:r>
        <w:rPr>
          <w:rFonts w:ascii="微软雅黑" w:hAnsi="微软雅黑"/>
          <w:sz w:val="21"/>
        </w:rPr>
        <w:t>、</w:t>
      </w:r>
      <w:r>
        <w:rPr>
          <w:rFonts w:ascii="Consolas" w:hAnsi="Consolas"/>
          <w:color w:val="B43C3C"/>
          <w:sz w:val="18"/>
        </w:rPr>
        <w:t>APPEND</w:t>
      </w:r>
      <w:r>
        <w:rPr>
          <w:rFonts w:ascii="微软雅黑" w:hAnsi="微软雅黑"/>
          <w:sz w:val="21"/>
        </w:rPr>
        <w:t>、</w:t>
      </w:r>
      <w:r>
        <w:rPr>
          <w:rFonts w:ascii="Consolas" w:hAnsi="Consolas"/>
          <w:color w:val="B43C3C"/>
          <w:sz w:val="18"/>
        </w:rPr>
        <w:t>UPDATE</w:t>
      </w:r>
      <w:r>
        <w:rPr>
          <w:rFonts w:ascii="微软雅黑" w:hAnsi="微软雅黑"/>
          <w:sz w:val="21"/>
        </w:rPr>
        <w:t>和</w:t>
      </w:r>
      <w:r>
        <w:rPr>
          <w:rFonts w:ascii="Consolas" w:hAnsi="Consolas"/>
          <w:color w:val="B43C3C"/>
          <w:sz w:val="18"/>
        </w:rPr>
        <w:t>DELETE</w:t>
      </w:r>
      <w:r>
        <w:rPr>
          <w:rFonts w:ascii="微软雅黑" w:hAnsi="微软雅黑"/>
          <w:sz w:val="21"/>
        </w:rPr>
        <w:t>。</w:t>
      </w:r>
    </w:p>
    <w:p>
      <w:pPr>
        <w:pStyle w:val="Heading3"/>
      </w:pPr>
      <w:r>
        <w:rPr>
          <w:rFonts w:ascii="微软雅黑" w:hAnsi="微软雅黑"/>
        </w:rPr>
        <w:t>`SNAPSHOT`</w:t>
      </w:r>
    </w:p>
    <w:p>
      <w:pPr>
        <w:spacing w:line="360" w:lineRule="auto" w:after="120"/>
      </w:pPr>
      <w:r>
        <w:rPr>
          <w:rFonts w:ascii="Consolas" w:hAnsi="Consolas"/>
          <w:color w:val="B43C3C"/>
          <w:sz w:val="18"/>
        </w:rPr>
        <w:t>SNAPSHOT</w:t>
      </w:r>
      <w:r>
        <w:rPr>
          <w:rFonts w:ascii="微软雅黑" w:hAnsi="微软雅黑"/>
          <w:sz w:val="21"/>
        </w:rPr>
        <w:t>事务用全新的一组文件替换数据集的当前视图。</w:t>
      </w:r>
    </w:p>
    <w:p>
      <w:pPr>
        <w:spacing w:line="360" w:lineRule="auto" w:after="120"/>
      </w:pPr>
      <w:r>
        <w:rPr>
          <w:rFonts w:ascii="Consolas" w:hAnsi="Consolas"/>
          <w:color w:val="B43C3C"/>
          <w:sz w:val="18"/>
        </w:rPr>
        <w:t>SNAPSHOT</w:t>
      </w:r>
      <w:r>
        <w:rPr>
          <w:rFonts w:ascii="微软雅黑" w:hAnsi="微软雅黑"/>
          <w:sz w:val="21"/>
        </w:rPr>
        <w:t>事务是最简单的事务类型，是</w:t>
      </w:r>
      <w:r>
        <w:rPr>
          <w:rFonts w:ascii="微软雅黑" w:hAnsi="微软雅黑"/>
          <w:color w:val="0066CC"/>
          <w:sz w:val="21"/>
          <w:u w:val="single"/>
        </w:rPr>
        <w:t>批处理管道</w:t>
      </w:r>
      <w:r>
        <w:rPr>
          <w:rFonts w:ascii="微软雅黑" w:hAnsi="微软雅黑"/>
          <w:sz w:val="21"/>
        </w:rPr>
        <w:t>的基础。</w:t>
      </w:r>
    </w:p>
    <w:p>
      <w:pPr>
        <w:pStyle w:val="Heading3"/>
      </w:pPr>
      <w:r>
        <w:rPr>
          <w:rFonts w:ascii="微软雅黑" w:hAnsi="微软雅黑"/>
        </w:rPr>
        <w:t>`APPEND`</w:t>
      </w:r>
    </w:p>
    <w:p>
      <w:pPr>
        <w:spacing w:line="360" w:lineRule="auto" w:after="120"/>
      </w:pPr>
      <w:r>
        <w:rPr>
          <w:rFonts w:ascii="Consolas" w:hAnsi="Consolas"/>
          <w:color w:val="B43C3C"/>
          <w:sz w:val="18"/>
        </w:rPr>
        <w:t>APPEND</w:t>
      </w:r>
      <w:r>
        <w:rPr>
          <w:rFonts w:ascii="微软雅黑" w:hAnsi="微软雅黑"/>
          <w:sz w:val="21"/>
        </w:rPr>
        <w:t>事务向当前数据集视图添加新文件。</w:t>
      </w:r>
    </w:p>
    <w:p>
      <w:pPr>
        <w:spacing w:line="360" w:lineRule="auto" w:after="120"/>
      </w:pPr>
      <w:r>
        <w:rPr>
          <w:rFonts w:ascii="Consolas" w:hAnsi="Consolas"/>
          <w:color w:val="B43C3C"/>
          <w:sz w:val="18"/>
        </w:rPr>
        <w:t>APPEND</w:t>
      </w:r>
      <w:r>
        <w:rPr>
          <w:rFonts w:ascii="微软雅黑" w:hAnsi="微软雅黑"/>
          <w:sz w:val="21"/>
        </w:rPr>
        <w:t>事务不能修改当前数据集视图中的现有文件。如果打开了</w:t>
      </w:r>
      <w:r>
        <w:rPr>
          <w:rFonts w:ascii="Consolas" w:hAnsi="Consolas"/>
          <w:color w:val="B43C3C"/>
          <w:sz w:val="18"/>
        </w:rPr>
        <w:t>APPEND</w:t>
      </w:r>
      <w:r>
        <w:rPr>
          <w:rFonts w:ascii="微软雅黑" w:hAnsi="微软雅黑"/>
          <w:sz w:val="21"/>
        </w:rPr>
        <w:t>事务并覆盖了现有文件，则尝试提交事务将会失败。</w:t>
      </w:r>
    </w:p>
    <w:p>
      <w:pPr>
        <w:spacing w:line="360" w:lineRule="auto" w:after="120"/>
      </w:pPr>
      <w:r>
        <w:rPr>
          <w:rFonts w:ascii="Consolas" w:hAnsi="Consolas"/>
          <w:color w:val="B43C3C"/>
          <w:sz w:val="18"/>
        </w:rPr>
        <w:t>APPEND</w:t>
      </w:r>
      <w:r>
        <w:rPr>
          <w:rFonts w:ascii="微软雅黑" w:hAnsi="微软雅黑"/>
          <w:sz w:val="21"/>
        </w:rPr>
        <w:t>事务是</w:t>
      </w:r>
      <w:r>
        <w:rPr>
          <w:rFonts w:ascii="微软雅黑" w:hAnsi="微软雅黑"/>
          <w:color w:val="0066CC"/>
          <w:sz w:val="21"/>
          <w:u w:val="single"/>
        </w:rPr>
        <w:t>增量管道</w:t>
      </w:r>
      <w:r>
        <w:rPr>
          <w:rFonts w:ascii="微软雅黑" w:hAnsi="微软雅黑"/>
          <w:sz w:val="21"/>
        </w:rPr>
        <w:t>的基础。通过仅将新数据同步到Foundry并在整个管道中仅处理这些新数据，可以以高效的方式处理对大型数据集的更改。然而，构建和维护增量管道伴随着额外的复杂性。</w:t>
      </w:r>
      <w:r>
        <w:rPr>
          <w:rFonts w:ascii="微软雅黑" w:hAnsi="微软雅黑"/>
          <w:color w:val="0066CC"/>
          <w:sz w:val="21"/>
          <w:u w:val="single"/>
        </w:rPr>
        <w:t>了解有关增量管道的更多信息。</w:t>
      </w:r>
    </w:p>
    <w:p>
      <w:pPr>
        <w:pStyle w:val="Heading3"/>
      </w:pPr>
      <w:r>
        <w:rPr>
          <w:rFonts w:ascii="微软雅黑" w:hAnsi="微软雅黑"/>
        </w:rPr>
        <w:t>`UPDATE`</w:t>
      </w:r>
    </w:p>
    <w:p>
      <w:pPr>
        <w:spacing w:line="360" w:lineRule="auto" w:after="120"/>
      </w:pPr>
      <w:r>
        <w:rPr>
          <w:rFonts w:ascii="Consolas" w:hAnsi="Consolas"/>
          <w:color w:val="B43C3C"/>
          <w:sz w:val="18"/>
        </w:rPr>
        <w:t>UPDATE</w:t>
      </w:r>
      <w:r>
        <w:rPr>
          <w:rFonts w:ascii="微软雅黑" w:hAnsi="微软雅黑"/>
          <w:sz w:val="21"/>
        </w:rPr>
        <w:t>事务与</w:t>
      </w:r>
      <w:r>
        <w:rPr>
          <w:rFonts w:ascii="Consolas" w:hAnsi="Consolas"/>
          <w:color w:val="B43C3C"/>
          <w:sz w:val="18"/>
        </w:rPr>
        <w:t>APPEND</w:t>
      </w:r>
      <w:r>
        <w:rPr>
          <w:rFonts w:ascii="微软雅黑" w:hAnsi="微软雅黑"/>
          <w:sz w:val="21"/>
        </w:rPr>
        <w:t>类似，向数据集视图添加新文件，但也可能覆盖现有文件的内容。</w:t>
      </w:r>
    </w:p>
    <w:p>
      <w:pPr>
        <w:pStyle w:val="Heading3"/>
      </w:pPr>
      <w:r>
        <w:rPr>
          <w:rFonts w:ascii="微软雅黑" w:hAnsi="微软雅黑"/>
        </w:rPr>
        <w:t>`DELETE`</w:t>
      </w:r>
    </w:p>
    <w:p>
      <w:pPr>
        <w:spacing w:line="360" w:lineRule="auto" w:after="120"/>
      </w:pPr>
      <w:r>
        <w:rPr>
          <w:rFonts w:ascii="Consolas" w:hAnsi="Consolas"/>
          <w:color w:val="B43C3C"/>
          <w:sz w:val="18"/>
        </w:rPr>
        <w:t>DELETE</w:t>
      </w:r>
      <w:r>
        <w:rPr>
          <w:rFonts w:ascii="微软雅黑" w:hAnsi="微软雅黑"/>
          <w:sz w:val="21"/>
        </w:rPr>
        <w:t>事务删除当前数据集视图中的文件。</w:t>
      </w:r>
    </w:p>
    <w:p>
      <w:pPr>
        <w:spacing w:line="360" w:lineRule="auto" w:after="120"/>
      </w:pPr>
      <w:r>
        <w:rPr>
          <w:rFonts w:ascii="微软雅黑" w:hAnsi="微软雅黑"/>
          <w:sz w:val="21"/>
        </w:rPr>
        <w:t>请注意，提交</w:t>
      </w:r>
      <w:r>
        <w:rPr>
          <w:rFonts w:ascii="Consolas" w:hAnsi="Consolas"/>
          <w:color w:val="B43C3C"/>
          <w:sz w:val="18"/>
        </w:rPr>
        <w:t>DELETE</w:t>
      </w:r>
      <w:r>
        <w:rPr>
          <w:rFonts w:ascii="微软雅黑" w:hAnsi="微软雅黑"/>
          <w:sz w:val="21"/>
        </w:rPr>
        <w:t>事务不会从支持文件系统中删除底层文件——它只是从数据集视图中删除文件引用。</w:t>
      </w:r>
    </w:p>
    <w:p>
      <w:pPr>
        <w:spacing w:line="360" w:lineRule="auto" w:after="120"/>
      </w:pPr>
      <w:r>
        <w:rPr>
          <w:rFonts w:ascii="微软雅黑" w:hAnsi="微软雅黑"/>
          <w:sz w:val="21"/>
        </w:rPr>
        <w:t>实际上，</w:t>
      </w:r>
      <w:r>
        <w:rPr>
          <w:rFonts w:ascii="Consolas" w:hAnsi="Consolas"/>
          <w:color w:val="B43C3C"/>
          <w:sz w:val="18"/>
        </w:rPr>
        <w:t>DELETE</w:t>
      </w:r>
      <w:r>
        <w:rPr>
          <w:rFonts w:ascii="微软雅黑" w:hAnsi="微软雅黑"/>
          <w:sz w:val="21"/>
        </w:rPr>
        <w:t>事务主要用于实现数据保留工作流。通过根据保留策略（通常基于文件的年龄）在数据集中删除文件，可以从Foundry中删除数据，以同时降低存储成本和符合数据治理要求。</w:t>
      </w:r>
    </w:p>
    <w:p>
      <w:pPr>
        <w:pStyle w:val="Heading3"/>
      </w:pPr>
      <w:r>
        <w:rPr>
          <w:rFonts w:ascii="微软雅黑" w:hAnsi="微软雅黑"/>
        </w:rPr>
        <w:t>事务类型示例</w:t>
      </w:r>
    </w:p>
    <w:p>
      <w:pPr>
        <w:spacing w:line="360" w:lineRule="auto" w:after="120"/>
      </w:pPr>
      <w:r>
        <w:rPr>
          <w:rFonts w:ascii="微软雅黑" w:hAnsi="微软雅黑"/>
          <w:sz w:val="21"/>
        </w:rPr>
        <w:t>想象一下数据集分支的以下事务历史记录，从最旧的开始：</w:t>
      </w:r>
    </w:p>
    <w:p>
      <w:pPr>
        <w:pStyle w:val="ListNumber"/>
        <w:spacing w:line="360" w:lineRule="auto" w:after="120"/>
      </w:pPr>
      <w:r>
        <w:rPr>
          <w:rFonts w:ascii="Consolas" w:hAnsi="Consolas"/>
          <w:color w:val="B43C3C"/>
          <w:sz w:val="18"/>
        </w:rPr>
        <w:t>SNAPSHOT</w:t>
      </w:r>
      <w:r>
        <w:rPr>
          <w:rFonts w:ascii="微软雅黑" w:hAnsi="微软雅黑"/>
          <w:sz w:val="21"/>
        </w:rPr>
        <w:t xml:space="preserve"> 包含文件 </w:t>
      </w:r>
      <w:r>
        <w:rPr>
          <w:rFonts w:ascii="Consolas" w:hAnsi="Consolas"/>
          <w:color w:val="B43C3C"/>
          <w:sz w:val="18"/>
        </w:rPr>
        <w:t>A</w:t>
      </w:r>
      <w:r>
        <w:rPr>
          <w:rFonts w:ascii="微软雅黑" w:hAnsi="微软雅黑"/>
          <w:sz w:val="21"/>
        </w:rPr>
        <w:t xml:space="preserve"> 和 </w:t>
      </w:r>
      <w:r>
        <w:rPr>
          <w:rFonts w:ascii="Consolas" w:hAnsi="Consolas"/>
          <w:color w:val="B43C3C"/>
          <w:sz w:val="18"/>
        </w:rPr>
        <w:t>B</w:t>
      </w:r>
    </w:p>
    <w:p>
      <w:pPr>
        <w:pStyle w:val="ListNumber"/>
        <w:spacing w:line="360" w:lineRule="auto" w:after="120"/>
      </w:pPr>
      <w:r>
        <w:rPr>
          <w:rFonts w:ascii="Consolas" w:hAnsi="Consolas"/>
          <w:color w:val="B43C3C"/>
          <w:sz w:val="18"/>
        </w:rPr>
        <w:t>APPEND</w:t>
      </w:r>
      <w:r>
        <w:rPr>
          <w:rFonts w:ascii="微软雅黑" w:hAnsi="微软雅黑"/>
          <w:sz w:val="21"/>
        </w:rPr>
        <w:t xml:space="preserve"> 添加文件 </w:t>
      </w:r>
      <w:r>
        <w:rPr>
          <w:rFonts w:ascii="Consolas" w:hAnsi="Consolas"/>
          <w:color w:val="B43C3C"/>
          <w:sz w:val="18"/>
        </w:rPr>
        <w:t>C</w:t>
      </w:r>
    </w:p>
    <w:p>
      <w:pPr>
        <w:pStyle w:val="ListNumber"/>
        <w:spacing w:line="360" w:lineRule="auto" w:after="120"/>
      </w:pPr>
      <w:r>
        <w:rPr>
          <w:rFonts w:ascii="Consolas" w:hAnsi="Consolas"/>
          <w:color w:val="B43C3C"/>
          <w:sz w:val="18"/>
        </w:rPr>
        <w:t>UPDATE</w:t>
      </w:r>
      <w:r>
        <w:rPr>
          <w:rFonts w:ascii="微软雅黑" w:hAnsi="微软雅黑"/>
          <w:sz w:val="21"/>
        </w:rPr>
        <w:t xml:space="preserve"> 修改文件 </w:t>
      </w:r>
      <w:r>
        <w:rPr>
          <w:rFonts w:ascii="Consolas" w:hAnsi="Consolas"/>
          <w:color w:val="B43C3C"/>
          <w:sz w:val="18"/>
        </w:rPr>
        <w:t>A</w:t>
      </w:r>
      <w:r>
        <w:rPr>
          <w:rFonts w:ascii="微软雅黑" w:hAnsi="微软雅黑"/>
          <w:sz w:val="21"/>
        </w:rPr>
        <w:t xml:space="preserve"> 的内容为 </w:t>
      </w:r>
      <w:r>
        <w:rPr>
          <w:rFonts w:ascii="Consolas" w:hAnsi="Consolas"/>
          <w:color w:val="B43C3C"/>
          <w:sz w:val="18"/>
        </w:rPr>
        <w:t>A'</w:t>
      </w:r>
    </w:p>
    <w:p>
      <w:pPr>
        <w:pStyle w:val="ListNumber"/>
        <w:spacing w:line="360" w:lineRule="auto" w:after="120"/>
      </w:pPr>
      <w:r>
        <w:rPr>
          <w:rFonts w:ascii="Consolas" w:hAnsi="Consolas"/>
          <w:color w:val="B43C3C"/>
          <w:sz w:val="18"/>
        </w:rPr>
        <w:t>DELETE</w:t>
      </w:r>
      <w:r>
        <w:rPr>
          <w:rFonts w:ascii="微软雅黑" w:hAnsi="微软雅黑"/>
          <w:sz w:val="21"/>
        </w:rPr>
        <w:t xml:space="preserve"> 删除文件 </w:t>
      </w:r>
      <w:r>
        <w:rPr>
          <w:rFonts w:ascii="Consolas" w:hAnsi="Consolas"/>
          <w:color w:val="B43C3C"/>
          <w:sz w:val="18"/>
        </w:rPr>
        <w:t>B</w:t>
      </w:r>
    </w:p>
    <w:p>
      <w:pPr>
        <w:spacing w:line="360" w:lineRule="auto" w:after="120"/>
      </w:pPr>
      <w:r>
        <w:rPr>
          <w:rFonts w:ascii="微软雅黑" w:hAnsi="微软雅黑"/>
          <w:sz w:val="21"/>
        </w:rPr>
        <w:t xml:space="preserve">此时，当前数据集视图将包含 </w:t>
      </w:r>
      <w:r>
        <w:rPr>
          <w:rFonts w:ascii="Consolas" w:hAnsi="Consolas"/>
          <w:color w:val="B43C3C"/>
          <w:sz w:val="18"/>
        </w:rPr>
        <w:t>A'</w:t>
      </w:r>
      <w:r>
        <w:rPr>
          <w:rFonts w:ascii="微软雅黑" w:hAnsi="微软雅黑"/>
          <w:sz w:val="21"/>
        </w:rPr>
        <w:t xml:space="preserve"> 和 </w:t>
      </w:r>
      <w:r>
        <w:rPr>
          <w:rFonts w:ascii="Consolas" w:hAnsi="Consolas"/>
          <w:color w:val="B43C3C"/>
          <w:sz w:val="18"/>
        </w:rPr>
        <w:t>C</w:t>
      </w:r>
      <w:r>
        <w:rPr>
          <w:rFonts w:ascii="微软雅黑" w:hAnsi="微软雅黑"/>
          <w:sz w:val="21"/>
        </w:rPr>
        <w:t xml:space="preserve">。如果我们添加第五个包含文件 </w:t>
      </w:r>
      <w:r>
        <w:rPr>
          <w:rFonts w:ascii="Consolas" w:hAnsi="Consolas"/>
          <w:color w:val="B43C3C"/>
          <w:sz w:val="18"/>
        </w:rPr>
        <w:t>D</w:t>
      </w:r>
      <w:r>
        <w:rPr>
          <w:rFonts w:ascii="微软雅黑" w:hAnsi="微软雅黑"/>
          <w:sz w:val="21"/>
        </w:rPr>
        <w:t xml:space="preserve"> 的</w:t>
      </w:r>
      <w:r>
        <w:rPr>
          <w:rFonts w:ascii="Consolas" w:hAnsi="Consolas"/>
          <w:color w:val="B43C3C"/>
          <w:sz w:val="18"/>
        </w:rPr>
        <w:t>SNAPSHOT</w:t>
      </w:r>
      <w:r>
        <w:rPr>
          <w:rFonts w:ascii="微软雅黑" w:hAnsi="微软雅黑"/>
          <w:sz w:val="21"/>
        </w:rPr>
        <w:t xml:space="preserve">事务，那么当前数据集视图将仅包含 </w:t>
      </w:r>
      <w:r>
        <w:rPr>
          <w:rFonts w:ascii="Consolas" w:hAnsi="Consolas"/>
          <w:color w:val="B43C3C"/>
          <w:sz w:val="18"/>
        </w:rPr>
        <w:t>D</w:t>
      </w:r>
      <w:r>
        <w:rPr>
          <w:rFonts w:ascii="微软雅黑" w:hAnsi="微软雅黑"/>
          <w:sz w:val="21"/>
        </w:rPr>
        <w:t>（因为</w:t>
      </w:r>
      <w:r>
        <w:rPr>
          <w:rFonts w:ascii="Consolas" w:hAnsi="Consolas"/>
          <w:color w:val="B43C3C"/>
          <w:sz w:val="18"/>
        </w:rPr>
        <w:t>SNAPSHOT</w:t>
      </w:r>
      <w:r>
        <w:rPr>
          <w:rFonts w:ascii="微软雅黑" w:hAnsi="微软雅黑"/>
          <w:sz w:val="21"/>
        </w:rPr>
        <w:t>事务开始新视图），而前四个事务将在旧视图中。</w:t>
      </w:r>
    </w:p>
    <w:p>
      <w:pPr>
        <w:pStyle w:val="Heading3"/>
      </w:pPr>
      <w:r>
        <w:rPr>
          <w:rFonts w:ascii="微软雅黑" w:hAnsi="微软雅黑"/>
        </w:rPr>
        <w:t>保留</w:t>
      </w:r>
    </w:p>
    <w:p>
      <w:pPr>
        <w:spacing w:line="360" w:lineRule="auto" w:after="120"/>
      </w:pPr>
      <w:r>
        <w:rPr>
          <w:rFonts w:ascii="微软雅黑" w:hAnsi="微软雅黑"/>
          <w:sz w:val="21"/>
        </w:rPr>
        <w:t>由于</w:t>
      </w:r>
      <w:r>
        <w:rPr>
          <w:rFonts w:ascii="Consolas" w:hAnsi="Consolas"/>
          <w:color w:val="B43C3C"/>
          <w:sz w:val="18"/>
        </w:rPr>
        <w:t>DELETE</w:t>
      </w:r>
      <w:r>
        <w:rPr>
          <w:rFonts w:ascii="微软雅黑" w:hAnsi="微软雅黑"/>
          <w:sz w:val="21"/>
        </w:rPr>
        <w:t>事务实际上不会从</w:t>
      </w:r>
      <w:r>
        <w:rPr>
          <w:rFonts w:ascii="微软雅黑" w:hAnsi="微软雅黑"/>
          <w:color w:val="0066CC"/>
          <w:sz w:val="21"/>
          <w:u w:val="single"/>
        </w:rPr>
        <w:t>支持文件系统</w:t>
      </w:r>
      <w:r>
        <w:rPr>
          <w:rFonts w:ascii="微软雅黑" w:hAnsi="微软雅黑"/>
          <w:sz w:val="21"/>
        </w:rPr>
        <w:t>中删除旧数据，您可以使用</w:t>
      </w:r>
      <w:r>
        <w:rPr>
          <w:rFonts w:ascii="微软雅黑" w:hAnsi="微软雅黑"/>
          <w:color w:val="0066CC"/>
          <w:sz w:val="21"/>
          <w:u w:val="single"/>
        </w:rPr>
        <w:t>保留策略</w:t>
      </w:r>
      <w:r>
        <w:rPr>
          <w:rFonts w:ascii="微软雅黑" w:hAnsi="微软雅黑"/>
          <w:sz w:val="21"/>
        </w:rPr>
        <w:t>删除不再需要的事务中的数据。</w:t>
      </w:r>
    </w:p>
    <w:p>
      <w:pPr>
        <w:pStyle w:val="Heading3"/>
      </w:pPr>
      <w:r>
        <w:rPr>
          <w:rFonts w:ascii="微软雅黑" w:hAnsi="微软雅黑"/>
        </w:rPr>
        <w:t>查看数据集的保留策略 \[Beta]</w:t>
      </w:r>
    </w:p>
    <w:p>
      <w:pPr>
        <w:spacing w:line="360" w:lineRule="auto" w:after="120"/>
      </w:pPr>
      <w:r>
        <w:rPr>
          <w:rFonts w:ascii="微软雅黑" w:hAnsi="微软雅黑"/>
          <w:sz w:val="21"/>
        </w:rPr>
        <w:t>这是一个Beta功能，可能在您的Foundry实例中不可用。请联系您的Palantir代表获取更多信息。</w:t>
      </w:r>
    </w:p>
    <w:p>
      <w:pPr>
        <w:spacing w:line="360" w:lineRule="auto" w:after="120"/>
      </w:pPr>
      <w:r>
        <w:rPr>
          <w:rFonts w:ascii="微软雅黑" w:hAnsi="微软雅黑"/>
          <w:sz w:val="21"/>
        </w:rPr>
        <w:t>要查看当前应用于给定数据集的保留策略，请导航到</w:t>
      </w:r>
      <w:r>
        <w:rPr>
          <w:rFonts w:ascii="微软雅黑" w:hAnsi="微软雅黑"/>
          <w:color w:val="0066CC"/>
          <w:sz w:val="21"/>
          <w:u w:val="single"/>
        </w:rPr>
        <w:t>数据集详细信息页面</w:t>
      </w:r>
      <w:r>
        <w:rPr>
          <w:rFonts w:ascii="微软雅黑" w:hAnsi="微软雅黑"/>
          <w:sz w:val="21"/>
        </w:rPr>
        <w:t>。</w:t>
      </w:r>
    </w:p>
    <w:p>
      <w:pPr>
        <w:spacing w:after="40"/>
        <w:jc w:val="center"/>
      </w:pPr>
      <w:r>
        <w:rPr>
          <w:i/>
          <w:color w:val="646464"/>
          <w:sz w:val="18"/>
        </w:rPr>
        <w:t>图：保留策略部分截图</w:t>
      </w:r>
    </w:p>
    <w:p>
      <w:pPr>
        <w:spacing w:before="120" w:after="240"/>
        <w:jc w:val="center"/>
      </w:pPr>
      <w:r>
        <w:drawing>
          <wp:inline xmlns:a="http://schemas.openxmlformats.org/drawingml/2006/main" xmlns:pic="http://schemas.openxmlformats.org/drawingml/2006/picture">
            <wp:extent cx="5029200" cy="2183731"/>
            <wp:docPr id="19" name="Picture 19"/>
            <wp:cNvGraphicFramePr>
              <a:graphicFrameLocks noChangeAspect="1"/>
            </wp:cNvGraphicFramePr>
            <a:graphic>
              <a:graphicData uri="http://schemas.openxmlformats.org/drawingml/2006/picture">
                <pic:pic>
                  <pic:nvPicPr>
                    <pic:cNvPr id="0" name="retention-policies.png"/>
                    <pic:cNvPicPr/>
                  </pic:nvPicPr>
                  <pic:blipFill>
                    <a:blip r:embed="rId27"/>
                    <a:stretch>
                      <a:fillRect/>
                    </a:stretch>
                  </pic:blipFill>
                  <pic:spPr>
                    <a:xfrm>
                      <a:off x="0" y="0"/>
                      <a:ext cx="5029200" cy="2183731"/>
                    </a:xfrm>
                    <a:prstGeom prst="rect"/>
                  </pic:spPr>
                </pic:pic>
              </a:graphicData>
            </a:graphic>
          </wp:inline>
        </w:drawing>
      </w:r>
    </w:p>
    <w:p>
      <w:pPr>
        <w:pStyle w:val="Heading2"/>
      </w:pPr>
      <w:r>
        <w:rPr>
          <w:rFonts w:ascii="微软雅黑" w:hAnsi="微软雅黑"/>
        </w:rPr>
        <w:t>分支</w:t>
      </w:r>
    </w:p>
    <w:p>
      <w:pPr>
        <w:spacing w:line="360" w:lineRule="auto" w:after="120"/>
      </w:pPr>
      <w:r>
        <w:rPr>
          <w:rFonts w:ascii="微软雅黑" w:hAnsi="微软雅黑"/>
          <w:sz w:val="21"/>
        </w:rPr>
        <w:t>虽然数据集事务被设计为使数据集的内容随时间变化，但需要额外的功能来实现*协作*——让多个用户同时对数据集进行更改实验。数据集中的</w:t>
      </w:r>
      <w:r>
        <w:rPr>
          <w:rFonts w:ascii="微软雅黑" w:hAnsi="微软雅黑"/>
          <w:b/>
          <w:sz w:val="21"/>
        </w:rPr>
        <w:t>分支</w:t>
      </w:r>
      <w:r>
        <w:rPr>
          <w:rFonts w:ascii="微软雅黑" w:hAnsi="微软雅黑"/>
          <w:sz w:val="21"/>
        </w:rPr>
        <w:t>旨在实现这些工作流。</w:t>
      </w:r>
    </w:p>
    <w:p>
      <w:pPr>
        <w:spacing w:line="360" w:lineRule="auto" w:after="120"/>
      </w:pPr>
      <w:r>
        <w:rPr>
          <w:rFonts w:ascii="微软雅黑" w:hAnsi="微软雅黑"/>
          <w:sz w:val="21"/>
        </w:rPr>
        <w:t>要了解Foundry中的分支，无论是单个数据集还是整个管道，请参阅</w:t>
      </w:r>
      <w:r>
        <w:rPr>
          <w:rFonts w:ascii="微软雅黑" w:hAnsi="微软雅黑"/>
          <w:color w:val="0066CC"/>
          <w:sz w:val="21"/>
          <w:u w:val="single"/>
        </w:rPr>
        <w:t>分支</w:t>
      </w:r>
      <w:r>
        <w:rPr>
          <w:rFonts w:ascii="微软雅黑" w:hAnsi="微软雅黑"/>
          <w:sz w:val="21"/>
        </w:rPr>
        <w:t>概念页面。</w:t>
      </w:r>
    </w:p>
    <w:p>
      <w:pPr>
        <w:pStyle w:val="Heading2"/>
      </w:pPr>
      <w:r>
        <w:rPr>
          <w:rFonts w:ascii="微软雅黑" w:hAnsi="微软雅黑"/>
        </w:rPr>
        <w:t>数据集视图</w:t>
      </w:r>
    </w:p>
    <w:p>
      <w:pPr>
        <w:spacing w:line="360" w:lineRule="auto" w:after="120"/>
      </w:pPr>
      <w:r>
        <w:rPr>
          <w:rFonts w:ascii="微软雅黑" w:hAnsi="微软雅黑"/>
          <w:sz w:val="21"/>
        </w:rPr>
        <w:t>数据集视图表示在某个时间点分支的数据集的有效文件内容。历史视图类似于数据集的历史版本。要计算视图中的文件：</w:t>
      </w:r>
    </w:p>
    <w:p>
      <w:pPr>
        <w:pStyle w:val="ListNumber"/>
        <w:spacing w:line="360" w:lineRule="auto" w:after="120"/>
      </w:pPr>
      <w:r>
        <w:rPr>
          <w:rFonts w:ascii="微软雅黑" w:hAnsi="微软雅黑"/>
          <w:sz w:val="21"/>
        </w:rPr>
        <w:t>从一组空文件开始。</w:t>
      </w:r>
    </w:p>
    <w:p>
      <w:pPr>
        <w:pStyle w:val="ListNumber"/>
        <w:spacing w:line="360" w:lineRule="auto" w:after="120"/>
      </w:pPr>
      <w:r>
        <w:rPr>
          <w:rFonts w:ascii="微软雅黑" w:hAnsi="微软雅黑"/>
          <w:sz w:val="21"/>
        </w:rPr>
        <w:t>给定时间的视图从该时间点之前的最新</w:t>
      </w:r>
      <w:r>
        <w:rPr>
          <w:rFonts w:ascii="Consolas" w:hAnsi="Consolas"/>
          <w:color w:val="B43C3C"/>
          <w:sz w:val="18"/>
        </w:rPr>
        <w:t>SNAPSHOT</w:t>
      </w:r>
      <w:r>
        <w:rPr>
          <w:rFonts w:ascii="微软雅黑" w:hAnsi="微软雅黑"/>
          <w:sz w:val="21"/>
        </w:rPr>
        <w:t>事务开始。如果没有</w:t>
      </w:r>
      <w:r>
        <w:rPr>
          <w:rFonts w:ascii="Consolas" w:hAnsi="Consolas"/>
          <w:color w:val="B43C3C"/>
          <w:sz w:val="18"/>
        </w:rPr>
        <w:t>SNAPSHOT</w:t>
      </w:r>
      <w:r>
        <w:rPr>
          <w:rFonts w:ascii="微软雅黑" w:hAnsi="微软雅黑"/>
          <w:sz w:val="21"/>
        </w:rPr>
        <w:t>事务，则取数据集的最早事务。</w:t>
      </w:r>
    </w:p>
    <w:p>
      <w:pPr>
        <w:pStyle w:val="ListNumber"/>
        <w:spacing w:line="360" w:lineRule="auto" w:after="120"/>
      </w:pPr>
      <w:r>
        <w:rPr>
          <w:rFonts w:ascii="微软雅黑" w:hAnsi="微软雅黑"/>
          <w:sz w:val="21"/>
        </w:rPr>
        <w:t>对于视图中的第一个事务和每个后续事务，执行以下操作：</w:t>
      </w:r>
    </w:p>
    <w:p>
      <w:pPr>
        <w:pStyle w:val="ListBullet"/>
        <w:spacing w:line="360" w:lineRule="auto" w:after="120"/>
      </w:pPr>
      <w:r>
        <w:rPr>
          <w:rFonts w:ascii="微软雅黑" w:hAnsi="微软雅黑"/>
          <w:sz w:val="21"/>
        </w:rPr>
        <w:t>对于</w:t>
      </w:r>
      <w:r>
        <w:rPr>
          <w:rFonts w:ascii="Consolas" w:hAnsi="Consolas"/>
          <w:color w:val="B43C3C"/>
          <w:sz w:val="18"/>
        </w:rPr>
        <w:t>SNAPSHOT</w:t>
      </w:r>
      <w:r>
        <w:rPr>
          <w:rFonts w:ascii="微软雅黑" w:hAnsi="微软雅黑"/>
          <w:sz w:val="21"/>
        </w:rPr>
        <w:t>（只能是第一个事务）或</w:t>
      </w:r>
      <w:r>
        <w:rPr>
          <w:rFonts w:ascii="Consolas" w:hAnsi="Consolas"/>
          <w:color w:val="B43C3C"/>
          <w:sz w:val="18"/>
        </w:rPr>
        <w:t>APPEND</w:t>
      </w:r>
      <w:r>
        <w:rPr>
          <w:rFonts w:ascii="微软雅黑" w:hAnsi="微软雅黑"/>
          <w:sz w:val="21"/>
        </w:rPr>
        <w:t>事务，将所有事务的文件添加到集合中。</w:t>
      </w:r>
    </w:p>
    <w:p>
      <w:pPr>
        <w:pStyle w:val="ListBullet"/>
        <w:spacing w:line="360" w:lineRule="auto" w:after="120"/>
      </w:pPr>
      <w:r>
        <w:rPr>
          <w:rFonts w:ascii="微软雅黑" w:hAnsi="微软雅黑"/>
          <w:sz w:val="21"/>
        </w:rPr>
        <w:t>对于</w:t>
      </w:r>
      <w:r>
        <w:rPr>
          <w:rFonts w:ascii="Consolas" w:hAnsi="Consolas"/>
          <w:color w:val="B43C3C"/>
          <w:sz w:val="18"/>
        </w:rPr>
        <w:t>UPDATE</w:t>
      </w:r>
      <w:r>
        <w:rPr>
          <w:rFonts w:ascii="微软雅黑" w:hAnsi="微软雅黑"/>
          <w:sz w:val="21"/>
        </w:rPr>
        <w:t>事务，将所有事务的文件添加到集合中并替换现有文件。</w:t>
      </w:r>
    </w:p>
    <w:p>
      <w:pPr>
        <w:pStyle w:val="ListBullet"/>
        <w:spacing w:line="360" w:lineRule="auto" w:after="120"/>
      </w:pPr>
      <w:r>
        <w:rPr>
          <w:rFonts w:ascii="微软雅黑" w:hAnsi="微软雅黑"/>
          <w:sz w:val="21"/>
        </w:rPr>
        <w:t>对于</w:t>
      </w:r>
      <w:r>
        <w:rPr>
          <w:rFonts w:ascii="Consolas" w:hAnsi="Consolas"/>
          <w:color w:val="B43C3C"/>
          <w:sz w:val="18"/>
        </w:rPr>
        <w:t>DELETE</w:t>
      </w:r>
      <w:r>
        <w:rPr>
          <w:rFonts w:ascii="微软雅黑" w:hAnsi="微软雅黑"/>
          <w:sz w:val="21"/>
        </w:rPr>
        <w:t>事务，从集合中删除事务中的所有文件。</w:t>
      </w:r>
    </w:p>
    <w:p>
      <w:pPr>
        <w:spacing w:line="360" w:lineRule="auto" w:after="120"/>
      </w:pPr>
      <w:r>
        <w:rPr>
          <w:rFonts w:ascii="微软雅黑" w:hAnsi="微软雅黑"/>
          <w:sz w:val="21"/>
        </w:rPr>
        <w:t>结果文件集构成了数据集视图。</w:t>
      </w:r>
    </w:p>
    <w:p>
      <w:pPr>
        <w:spacing w:line="360" w:lineRule="auto" w:after="120"/>
      </w:pPr>
      <w:r>
        <w:rPr>
          <w:rFonts w:ascii="微软雅黑" w:hAnsi="微软雅黑"/>
          <w:sz w:val="21"/>
        </w:rPr>
        <w:t>如果数据集仅包含</w:t>
      </w:r>
      <w:r>
        <w:rPr>
          <w:rFonts w:ascii="Consolas" w:hAnsi="Consolas"/>
          <w:color w:val="B43C3C"/>
          <w:sz w:val="18"/>
        </w:rPr>
        <w:t>SNAPSHOT</w:t>
      </w:r>
      <w:r>
        <w:rPr>
          <w:rFonts w:ascii="微软雅黑" w:hAnsi="微软雅黑"/>
          <w:sz w:val="21"/>
        </w:rPr>
        <w:t>事务，则视图的数量等于事务的数量。在增量数据集的情况下，视图的数量将等于</w:t>
      </w:r>
      <w:r>
        <w:rPr>
          <w:rFonts w:ascii="Consolas" w:hAnsi="Consolas"/>
          <w:color w:val="B43C3C"/>
          <w:sz w:val="18"/>
        </w:rPr>
        <w:t>SNAPSHOT</w:t>
      </w:r>
      <w:r>
        <w:rPr>
          <w:rFonts w:ascii="微软雅黑" w:hAnsi="微软雅黑"/>
          <w:sz w:val="21"/>
        </w:rPr>
        <w:t>事务的数量。</w:t>
      </w:r>
    </w:p>
    <w:p>
      <w:pPr>
        <w:spacing w:line="360" w:lineRule="auto" w:after="120"/>
      </w:pPr>
      <w:r>
        <w:rPr>
          <w:rFonts w:ascii="微软雅黑" w:hAnsi="微软雅黑"/>
          <w:sz w:val="21"/>
        </w:rPr>
        <w:t>一个视图可能包含来自多个分支的事务。例如，给定一个从</w:t>
      </w:r>
      <w:r>
        <w:rPr>
          <w:rFonts w:ascii="Consolas" w:hAnsi="Consolas"/>
          <w:color w:val="B43C3C"/>
          <w:sz w:val="18"/>
        </w:rPr>
        <w:t>SNAPSHOT</w:t>
      </w:r>
      <w:r>
        <w:rPr>
          <w:rFonts w:ascii="微软雅黑" w:hAnsi="微软雅黑"/>
          <w:sz w:val="21"/>
        </w:rPr>
        <w:t>和一些</w:t>
      </w:r>
      <w:r>
        <w:rPr>
          <w:rFonts w:ascii="Consolas" w:hAnsi="Consolas"/>
          <w:color w:val="B43C3C"/>
          <w:sz w:val="18"/>
        </w:rPr>
        <w:t>APPEND</w:t>
      </w:r>
      <w:r>
        <w:rPr>
          <w:rFonts w:ascii="微软雅黑" w:hAnsi="微软雅黑"/>
          <w:sz w:val="21"/>
        </w:rPr>
        <w:t>事务开始的增量数据集的</w:t>
      </w:r>
      <w:r>
        <w:rPr>
          <w:rFonts w:ascii="Consolas" w:hAnsi="Consolas"/>
          <w:color w:val="B43C3C"/>
          <w:sz w:val="18"/>
        </w:rPr>
        <w:t>master</w:t>
      </w:r>
      <w:r>
        <w:rPr>
          <w:rFonts w:ascii="微软雅黑" w:hAnsi="微软雅黑"/>
          <w:sz w:val="21"/>
        </w:rPr>
        <w:t>分支，这些事务将构成分支上数据集视图的开始，如果分支上的后续事务也是</w:t>
      </w:r>
      <w:r>
        <w:rPr>
          <w:rFonts w:ascii="Consolas" w:hAnsi="Consolas"/>
          <w:color w:val="B43C3C"/>
          <w:sz w:val="18"/>
        </w:rPr>
        <w:t>APPEND</w:t>
      </w:r>
      <w:r>
        <w:rPr>
          <w:rFonts w:ascii="微软雅黑" w:hAnsi="微软雅黑"/>
          <w:sz w:val="21"/>
        </w:rPr>
        <w:t>（或严格来说，*不是*</w:t>
      </w:r>
      <w:r>
        <w:rPr>
          <w:rFonts w:ascii="Consolas" w:hAnsi="Consolas"/>
          <w:color w:val="B43C3C"/>
          <w:sz w:val="18"/>
        </w:rPr>
        <w:t>SNAPSHOT</w:t>
      </w:r>
      <w:r>
        <w:rPr>
          <w:rFonts w:ascii="微软雅黑" w:hAnsi="微软雅黑"/>
          <w:sz w:val="21"/>
        </w:rPr>
        <w:t>）事务。</w:t>
      </w:r>
    </w:p>
    <w:p>
      <w:pPr>
        <w:pStyle w:val="Heading2"/>
      </w:pPr>
      <w:r>
        <w:rPr>
          <w:rFonts w:ascii="微软雅黑" w:hAnsi="微软雅黑"/>
        </w:rPr>
        <w:t>模式</w:t>
      </w:r>
    </w:p>
    <w:p>
      <w:pPr>
        <w:spacing w:line="360" w:lineRule="auto" w:after="120"/>
      </w:pPr>
      <w:r>
        <w:rPr>
          <w:rFonts w:ascii="微软雅黑" w:hAnsi="微软雅黑"/>
          <w:sz w:val="21"/>
        </w:rPr>
        <w:t>模式是定义如何解释视图内文件的*数据集视图*上的元数据。这包括如何解析视图中的文件，以及文件中的列或字段如何命名或类型化。Foundry中最常见的模式是*表格*的——它们描述数据集中的列，包括它们的名称和</w:t>
      </w:r>
      <w:r>
        <w:rPr>
          <w:rFonts w:ascii="微软雅黑" w:hAnsi="微软雅黑"/>
          <w:color w:val="0066CC"/>
          <w:sz w:val="21"/>
          <w:u w:val="single"/>
        </w:rPr>
        <w:t>字段类型</w:t>
      </w:r>
      <w:r>
        <w:rPr>
          <w:rFonts w:ascii="微软雅黑" w:hAnsi="微软雅黑"/>
          <w:sz w:val="21"/>
        </w:rPr>
        <w:t>。</w:t>
      </w:r>
    </w:p>
    <w:p>
      <w:pPr>
        <w:spacing w:line="360" w:lineRule="auto" w:after="120"/>
      </w:pPr>
      <w:r>
        <w:rPr>
          <w:rFonts w:ascii="微软雅黑" w:hAnsi="微软雅黑"/>
          <w:sz w:val="21"/>
        </w:rPr>
        <w:t>请注意，不能保证数据集中的文件实际符合指定的模式。例如，可以将Parquet模式应用于包含CSV文件的数据集。在这种情况下，尝试读取数据集内容的客户端应用程序将遇到由于某些文件不符合模式而导致的出错。</w:t>
      </w:r>
    </w:p>
    <w:p>
      <w:pPr>
        <w:spacing w:line="360" w:lineRule="auto" w:after="120"/>
      </w:pPr>
      <w:r>
        <w:rPr>
          <w:rFonts w:ascii="微软雅黑" w:hAnsi="微软雅黑"/>
          <w:sz w:val="21"/>
        </w:rPr>
        <w:t>因为模式存储在*数据集视图*上，所以模式可以随时间更改。这很有用，因为数据集的内容可能会随着时间的推移而发生结构性变化。例如，新事务可能会向表格数据集中引入新列或更改字段的类型。</w:t>
      </w:r>
    </w:p>
    <w:p>
      <w:pPr>
        <w:spacing w:line="360" w:lineRule="auto" w:after="120"/>
      </w:pPr>
      <w:r>
        <w:rPr>
          <w:rFonts w:ascii="微软雅黑" w:hAnsi="微软雅黑"/>
          <w:sz w:val="21"/>
        </w:rPr>
        <w:t>在Foundry中，您可以通过导航到</w:t>
      </w:r>
      <w:r>
        <w:rPr>
          <w:rFonts w:ascii="微软雅黑" w:hAnsi="微软雅黑"/>
          <w:b/>
          <w:sz w:val="21"/>
        </w:rPr>
        <w:t>详细信息</w:t>
      </w:r>
      <w:r>
        <w:rPr>
          <w:rFonts w:ascii="微软雅黑" w:hAnsi="微软雅黑"/>
          <w:sz w:val="21"/>
        </w:rPr>
        <w:t>选项卡并选择</w:t>
      </w:r>
      <w:r>
        <w:rPr>
          <w:rFonts w:ascii="微软雅黑" w:hAnsi="微软雅黑"/>
          <w:b/>
          <w:sz w:val="21"/>
        </w:rPr>
        <w:t>模式</w:t>
      </w:r>
      <w:r>
        <w:rPr>
          <w:rFonts w:ascii="微软雅黑" w:hAnsi="微软雅黑"/>
          <w:sz w:val="21"/>
        </w:rPr>
        <w:t>来查看</w:t>
      </w:r>
      <w:r>
        <w:rPr>
          <w:rFonts w:ascii="微软雅黑" w:hAnsi="微软雅黑"/>
          <w:color w:val="0066CC"/>
          <w:sz w:val="21"/>
          <w:u w:val="single"/>
        </w:rPr>
        <w:t>数据集预览</w:t>
      </w:r>
      <w:r>
        <w:rPr>
          <w:rFonts w:ascii="微软雅黑" w:hAnsi="微软雅黑"/>
          <w:sz w:val="21"/>
        </w:rPr>
        <w:t>应用程序中的任何数据集的模式。</w:t>
      </w:r>
    </w:p>
    <w:p>
      <w:pPr>
        <w:pStyle w:val="Heading3"/>
      </w:pPr>
      <w:r>
        <w:rPr>
          <w:rFonts w:ascii="微软雅黑" w:hAnsi="微软雅黑"/>
        </w:rPr>
        <w:t>支持的字段类型</w:t>
      </w:r>
    </w:p>
    <w:p>
      <w:pPr>
        <w:spacing w:line="360" w:lineRule="auto" w:after="120"/>
      </w:pPr>
      <w:r>
        <w:rPr>
          <w:rFonts w:ascii="微软雅黑" w:hAnsi="微软雅黑"/>
          <w:sz w:val="21"/>
        </w:rPr>
        <w:t>以下是数据集中可用的字段类型列表：</w:t>
      </w:r>
    </w:p>
    <w:p>
      <w:pPr>
        <w:pStyle w:val="ListBullet"/>
        <w:spacing w:line="360" w:lineRule="auto" w:after="120"/>
      </w:pPr>
      <w:r>
        <w:rPr>
          <w:rFonts w:ascii="Consolas" w:hAnsi="Consolas"/>
          <w:color w:val="B43C3C"/>
          <w:sz w:val="18"/>
        </w:rPr>
        <w:t>BOOLEAN</w:t>
      </w:r>
    </w:p>
    <w:p>
      <w:pPr>
        <w:pStyle w:val="ListBullet"/>
        <w:spacing w:line="360" w:lineRule="auto" w:after="120"/>
      </w:pPr>
      <w:r>
        <w:rPr>
          <w:rFonts w:ascii="Consolas" w:hAnsi="Consolas"/>
          <w:color w:val="B43C3C"/>
          <w:sz w:val="18"/>
        </w:rPr>
        <w:t>BYTE</w:t>
      </w:r>
    </w:p>
    <w:p>
      <w:pPr>
        <w:pStyle w:val="ListBullet"/>
        <w:spacing w:line="360" w:lineRule="auto" w:after="120"/>
      </w:pPr>
      <w:r>
        <w:rPr>
          <w:rFonts w:ascii="Consolas" w:hAnsi="Consolas"/>
          <w:color w:val="B43C3C"/>
          <w:sz w:val="18"/>
        </w:rPr>
        <w:t>SHORT</w:t>
      </w:r>
    </w:p>
    <w:p>
      <w:pPr>
        <w:pStyle w:val="ListBullet"/>
        <w:spacing w:line="360" w:lineRule="auto" w:after="120"/>
      </w:pPr>
      <w:r>
        <w:rPr>
          <w:rFonts w:ascii="Consolas" w:hAnsi="Consolas"/>
          <w:color w:val="B43C3C"/>
          <w:sz w:val="18"/>
        </w:rPr>
        <w:t>INTEGER</w:t>
      </w:r>
    </w:p>
    <w:p>
      <w:pPr>
        <w:pStyle w:val="ListBullet"/>
        <w:spacing w:line="360" w:lineRule="auto" w:after="120"/>
      </w:pPr>
      <w:r>
        <w:rPr>
          <w:rFonts w:ascii="Consolas" w:hAnsi="Consolas"/>
          <w:color w:val="B43C3C"/>
          <w:sz w:val="18"/>
        </w:rPr>
        <w:t>LONG</w:t>
      </w:r>
    </w:p>
    <w:p>
      <w:pPr>
        <w:pStyle w:val="ListBullet"/>
        <w:spacing w:line="360" w:lineRule="auto" w:after="120"/>
      </w:pPr>
      <w:r>
        <w:rPr>
          <w:rFonts w:ascii="Consolas" w:hAnsi="Consolas"/>
          <w:color w:val="B43C3C"/>
          <w:sz w:val="18"/>
        </w:rPr>
        <w:t>FLOAT</w:t>
      </w:r>
    </w:p>
    <w:p>
      <w:pPr>
        <w:pStyle w:val="ListBullet"/>
        <w:spacing w:line="360" w:lineRule="auto" w:after="120"/>
      </w:pPr>
      <w:r>
        <w:rPr>
          <w:rFonts w:ascii="Consolas" w:hAnsi="Consolas"/>
          <w:color w:val="B43C3C"/>
          <w:sz w:val="18"/>
        </w:rPr>
        <w:t>DOUBLE</w:t>
      </w:r>
    </w:p>
    <w:p>
      <w:pPr>
        <w:pStyle w:val="ListBullet"/>
        <w:spacing w:line="360" w:lineRule="auto" w:after="120"/>
      </w:pPr>
      <w:r>
        <w:rPr>
          <w:rFonts w:ascii="Consolas" w:hAnsi="Consolas"/>
          <w:color w:val="B43C3C"/>
          <w:sz w:val="18"/>
        </w:rPr>
        <w:t>DECIMAL</w:t>
      </w:r>
    </w:p>
    <w:p>
      <w:pPr>
        <w:pStyle w:val="ListBullet"/>
        <w:spacing w:line="360" w:lineRule="auto" w:after="120"/>
      </w:pPr>
      <w:r>
        <w:rPr>
          <w:rFonts w:ascii="Consolas" w:hAnsi="Consolas"/>
          <w:color w:val="B43C3C"/>
          <w:sz w:val="18"/>
        </w:rPr>
        <w:t>STRING</w:t>
      </w:r>
    </w:p>
    <w:p>
      <w:pPr>
        <w:pStyle w:val="ListBullet"/>
        <w:spacing w:line="360" w:lineRule="auto" w:after="120"/>
      </w:pPr>
      <w:r>
        <w:rPr>
          <w:rFonts w:ascii="Consolas" w:hAnsi="Consolas"/>
          <w:color w:val="B43C3C"/>
          <w:sz w:val="18"/>
        </w:rPr>
        <w:t>MAP</w:t>
      </w:r>
    </w:p>
    <w:p>
      <w:pPr>
        <w:pStyle w:val="ListBullet"/>
        <w:spacing w:line="360" w:lineRule="auto" w:after="120"/>
      </w:pPr>
      <w:r>
        <w:rPr>
          <w:rFonts w:ascii="Consolas" w:hAnsi="Consolas"/>
          <w:color w:val="B43C3C"/>
          <w:sz w:val="18"/>
        </w:rPr>
        <w:t>ARRAY</w:t>
      </w:r>
    </w:p>
    <w:p>
      <w:pPr>
        <w:pStyle w:val="ListBullet"/>
        <w:spacing w:line="360" w:lineRule="auto" w:after="120"/>
      </w:pPr>
      <w:r>
        <w:rPr>
          <w:rFonts w:ascii="Consolas" w:hAnsi="Consolas"/>
          <w:color w:val="B43C3C"/>
          <w:sz w:val="18"/>
        </w:rPr>
        <w:t>STRUCT</w:t>
      </w:r>
    </w:p>
    <w:p>
      <w:pPr>
        <w:pStyle w:val="ListBullet"/>
        <w:spacing w:line="360" w:lineRule="auto" w:after="120"/>
      </w:pPr>
      <w:r>
        <w:rPr>
          <w:rFonts w:ascii="Consolas" w:hAnsi="Consolas"/>
          <w:color w:val="B43C3C"/>
          <w:sz w:val="18"/>
        </w:rPr>
        <w:t>BINARY</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TIMESTAMP</w:t>
      </w:r>
    </w:p>
    <w:p>
      <w:pPr>
        <w:spacing w:line="360" w:lineRule="auto" w:after="120"/>
      </w:pPr>
      <w:r>
        <w:rPr>
          <w:rFonts w:ascii="微软雅黑" w:hAnsi="微软雅黑"/>
          <w:sz w:val="21"/>
        </w:rPr>
        <w:t>一些字段类型需要附加参数：</w:t>
      </w:r>
    </w:p>
    <w:p>
      <w:pPr>
        <w:pStyle w:val="ListBullet"/>
        <w:spacing w:line="360" w:lineRule="auto" w:after="120"/>
      </w:pPr>
      <w:r>
        <w:rPr>
          <w:rFonts w:ascii="Consolas" w:hAnsi="Consolas"/>
          <w:color w:val="B43C3C"/>
          <w:sz w:val="18"/>
        </w:rPr>
        <w:t>DECIMAL</w:t>
      </w:r>
      <w:r>
        <w:rPr>
          <w:rFonts w:ascii="微软雅黑" w:hAnsi="微软雅黑"/>
          <w:sz w:val="21"/>
        </w:rPr>
        <w:t>需要</w:t>
      </w:r>
      <w:r>
        <w:rPr>
          <w:rFonts w:ascii="Consolas" w:hAnsi="Consolas"/>
          <w:color w:val="B43C3C"/>
          <w:sz w:val="18"/>
        </w:rPr>
        <w:t>precision</w:t>
      </w:r>
      <w:r>
        <w:rPr>
          <w:rFonts w:ascii="微软雅黑" w:hAnsi="微软雅黑"/>
          <w:sz w:val="21"/>
        </w:rPr>
        <w:t>和</w:t>
      </w:r>
      <w:r>
        <w:rPr>
          <w:rFonts w:ascii="Consolas" w:hAnsi="Consolas"/>
          <w:color w:val="B43C3C"/>
          <w:sz w:val="18"/>
        </w:rPr>
        <w:t>scale</w:t>
      </w:r>
      <w:r>
        <w:rPr>
          <w:rFonts w:ascii="微软雅黑" w:hAnsi="微软雅黑"/>
          <w:sz w:val="21"/>
        </w:rPr>
        <w:t>。如果您不确定这些参数的设置，建议的默认值为</w:t>
      </w:r>
      <w:r>
        <w:rPr>
          <w:rFonts w:ascii="Consolas" w:hAnsi="Consolas"/>
          <w:color w:val="B43C3C"/>
          <w:sz w:val="18"/>
        </w:rPr>
        <w:t>precision: 38</w:t>
      </w:r>
      <w:r>
        <w:rPr>
          <w:rFonts w:ascii="微软雅黑" w:hAnsi="微软雅黑"/>
          <w:sz w:val="21"/>
        </w:rPr>
        <w:t>和</w:t>
      </w:r>
      <w:r>
        <w:rPr>
          <w:rFonts w:ascii="Consolas" w:hAnsi="Consolas"/>
          <w:color w:val="B43C3C"/>
          <w:sz w:val="18"/>
        </w:rPr>
        <w:t>scale: 18</w:t>
      </w:r>
      <w:r>
        <w:rPr>
          <w:rFonts w:ascii="微软雅黑" w:hAnsi="微软雅黑"/>
          <w:sz w:val="21"/>
        </w:rPr>
        <w:t>。</w:t>
      </w:r>
      <w:r>
        <w:rPr>
          <w:rFonts w:ascii="Consolas" w:hAnsi="Consolas"/>
          <w:color w:val="B43C3C"/>
          <w:sz w:val="18"/>
        </w:rPr>
        <w:t>38</w:t>
      </w:r>
      <w:r>
        <w:rPr>
          <w:rFonts w:ascii="微软雅黑" w:hAnsi="微软雅黑"/>
          <w:sz w:val="21"/>
        </w:rPr>
        <w:t>是可能的最高精度值。</w:t>
      </w:r>
    </w:p>
    <w:p>
      <w:pPr>
        <w:pStyle w:val="ListBullet"/>
        <w:spacing w:line="360" w:lineRule="auto" w:after="120"/>
      </w:pPr>
      <w:r>
        <w:rPr>
          <w:rFonts w:ascii="Consolas" w:hAnsi="Consolas"/>
          <w:color w:val="B43C3C"/>
          <w:sz w:val="18"/>
        </w:rPr>
        <w:t>MAP</w:t>
      </w:r>
      <w:r>
        <w:rPr>
          <w:rFonts w:ascii="微软雅黑" w:hAnsi="微软雅黑"/>
          <w:sz w:val="21"/>
        </w:rPr>
        <w:t>需要</w:t>
      </w:r>
      <w:r>
        <w:rPr>
          <w:rFonts w:ascii="Consolas" w:hAnsi="Consolas"/>
          <w:color w:val="B43C3C"/>
          <w:sz w:val="18"/>
        </w:rPr>
        <w:t>mapKeyType</w:t>
      </w:r>
      <w:r>
        <w:rPr>
          <w:rFonts w:ascii="微软雅黑" w:hAnsi="微软雅黑"/>
          <w:sz w:val="21"/>
        </w:rPr>
        <w:t>和</w:t>
      </w:r>
      <w:r>
        <w:rPr>
          <w:rFonts w:ascii="Consolas" w:hAnsi="Consolas"/>
          <w:color w:val="B43C3C"/>
          <w:sz w:val="18"/>
        </w:rPr>
        <w:t>mapValueType</w:t>
      </w:r>
      <w:r>
        <w:rPr>
          <w:rFonts w:ascii="微软雅黑" w:hAnsi="微软雅黑"/>
          <w:sz w:val="21"/>
        </w:rPr>
        <w:t>，这两者都是字段类型。</w:t>
      </w:r>
    </w:p>
    <w:p>
      <w:pPr>
        <w:pStyle w:val="ListBullet"/>
        <w:spacing w:line="360" w:lineRule="auto" w:after="120"/>
      </w:pPr>
      <w:r>
        <w:rPr>
          <w:rFonts w:ascii="Consolas" w:hAnsi="Consolas"/>
          <w:color w:val="B43C3C"/>
          <w:sz w:val="18"/>
        </w:rPr>
        <w:t>ARRAY</w:t>
      </w:r>
      <w:r>
        <w:rPr>
          <w:rFonts w:ascii="微软雅黑" w:hAnsi="微软雅黑"/>
          <w:sz w:val="21"/>
        </w:rPr>
        <w:t>需要</w:t>
      </w:r>
      <w:r>
        <w:rPr>
          <w:rFonts w:ascii="Consolas" w:hAnsi="Consolas"/>
          <w:color w:val="B43C3C"/>
          <w:sz w:val="18"/>
        </w:rPr>
        <w:t>arraySubType</w:t>
      </w:r>
      <w:r>
        <w:rPr>
          <w:rFonts w:ascii="微软雅黑" w:hAnsi="微软雅黑"/>
          <w:sz w:val="21"/>
        </w:rPr>
        <w:t>，一个字段类型。</w:t>
      </w:r>
    </w:p>
    <w:p>
      <w:pPr>
        <w:pStyle w:val="ListBullet"/>
        <w:spacing w:line="360" w:lineRule="auto" w:after="120"/>
      </w:pPr>
      <w:r>
        <w:rPr>
          <w:rFonts w:ascii="Consolas" w:hAnsi="Consolas"/>
          <w:color w:val="B43C3C"/>
          <w:sz w:val="18"/>
        </w:rPr>
        <w:t>STRUCT</w:t>
      </w:r>
      <w:r>
        <w:rPr>
          <w:rFonts w:ascii="微软雅黑" w:hAnsi="微软雅黑"/>
          <w:sz w:val="21"/>
        </w:rPr>
        <w:t>需要</w:t>
      </w:r>
      <w:r>
        <w:rPr>
          <w:rFonts w:ascii="Consolas" w:hAnsi="Consolas"/>
          <w:color w:val="B43C3C"/>
          <w:sz w:val="18"/>
        </w:rPr>
        <w:t>subSchemas</w:t>
      </w:r>
      <w:r>
        <w:rPr>
          <w:rFonts w:ascii="微软雅黑" w:hAnsi="微软雅黑"/>
          <w:sz w:val="21"/>
        </w:rPr>
        <w:t>，一个字段类型列表。</w:t>
      </w:r>
    </w:p>
    <w:p>
      <w:pPr>
        <w:spacing w:line="360" w:lineRule="auto" w:after="120"/>
      </w:pPr>
      <w:r>
        <w:rPr>
          <w:rFonts w:ascii="微软雅黑" w:hAnsi="微软雅黑"/>
          <w:sz w:val="21"/>
        </w:rPr>
        <w:t>有关上述字段类型的更多信息，包括描述和示例，请参阅</w:t>
      </w:r>
      <w:r>
        <w:rPr>
          <w:rFonts w:ascii="微软雅黑" w:hAnsi="微软雅黑"/>
          <w:color w:val="0066CC"/>
          <w:sz w:val="21"/>
          <w:u w:val="single"/>
        </w:rPr>
        <w:t>Spark数据类型文档 ↗</w:t>
      </w:r>
      <w:r>
        <w:rPr>
          <w:rFonts w:ascii="微软雅黑" w:hAnsi="微软雅黑"/>
          <w:sz w:val="21"/>
        </w:rPr>
        <w:t>。</w:t>
      </w:r>
    </w:p>
    <w:p>
      <w:pPr>
        <w:pStyle w:val="Heading3"/>
      </w:pPr>
      <w:r>
        <w:rPr>
          <w:rFonts w:ascii="微软雅黑" w:hAnsi="微软雅黑"/>
        </w:rPr>
        <w:t>模式选项</w:t>
      </w:r>
    </w:p>
    <w:p>
      <w:pPr>
        <w:spacing w:line="360" w:lineRule="auto" w:after="120"/>
      </w:pPr>
      <w:r>
        <w:rPr>
          <w:rFonts w:ascii="微软雅黑" w:hAnsi="微软雅黑"/>
          <w:sz w:val="21"/>
        </w:rPr>
        <w:t>在数据集预览的</w:t>
      </w:r>
      <w:r>
        <w:rPr>
          <w:rFonts w:ascii="微软雅黑" w:hAnsi="微软雅黑"/>
          <w:b/>
          <w:sz w:val="21"/>
        </w:rPr>
        <w:t>详细信息</w:t>
      </w:r>
      <w:r>
        <w:rPr>
          <w:rFonts w:ascii="微软雅黑" w:hAnsi="微软雅黑"/>
          <w:sz w:val="21"/>
        </w:rPr>
        <w:t>选项卡的</w:t>
      </w:r>
      <w:r>
        <w:rPr>
          <w:rFonts w:ascii="微软雅黑" w:hAnsi="微软雅黑"/>
          <w:b/>
          <w:sz w:val="21"/>
        </w:rPr>
        <w:t>模式</w:t>
      </w:r>
      <w:r>
        <w:rPr>
          <w:rFonts w:ascii="微软雅黑" w:hAnsi="微软雅黑"/>
          <w:sz w:val="21"/>
        </w:rPr>
        <w:t>部分，您可以在模式元数据底部的</w:t>
      </w:r>
      <w:r>
        <w:rPr>
          <w:rFonts w:ascii="Consolas" w:hAnsi="Consolas"/>
          <w:color w:val="B43C3C"/>
          <w:sz w:val="18"/>
        </w:rPr>
        <w:t>options</w:t>
      </w:r>
      <w:r>
        <w:rPr>
          <w:rFonts w:ascii="微软雅黑" w:hAnsi="微软雅黑"/>
          <w:sz w:val="21"/>
        </w:rPr>
        <w:t>块中为CSV文件添加非必填解析配置。有关更多信息，请参阅</w:t>
      </w:r>
      <w:r>
        <w:rPr>
          <w:rFonts w:ascii="微软雅黑" w:hAnsi="微软雅黑"/>
          <w:color w:val="0066CC"/>
          <w:sz w:val="21"/>
          <w:u w:val="single"/>
        </w:rPr>
        <w:t>CSV解析</w:t>
      </w:r>
      <w:r>
        <w:rPr>
          <w:rFonts w:ascii="微软雅黑" w:hAnsi="微软雅黑"/>
          <w:sz w:val="21"/>
        </w:rPr>
        <w:t>文档。</w:t>
      </w:r>
    </w:p>
    <w:p>
      <w:pPr>
        <w:pStyle w:val="Heading3"/>
      </w:pPr>
      <w:r>
        <w:rPr>
          <w:rFonts w:ascii="微软雅黑" w:hAnsi="微软雅黑"/>
        </w:rPr>
        <w:t>文件格式</w:t>
      </w:r>
    </w:p>
    <w:p>
      <w:pPr>
        <w:spacing w:line="360" w:lineRule="auto" w:after="120"/>
      </w:pPr>
      <w:r>
        <w:rPr>
          <w:rFonts w:ascii="微软雅黑" w:hAnsi="微软雅黑"/>
          <w:sz w:val="21"/>
        </w:rPr>
        <w:t>模式包括有关数据集中文件的底层存储格式的信息。最广泛使用的三种格式是：</w:t>
      </w:r>
    </w:p>
    <w:p>
      <w:pPr>
        <w:pStyle w:val="ListBullet"/>
        <w:spacing w:line="360" w:lineRule="auto" w:after="120"/>
      </w:pPr>
      <w:r>
        <w:rPr>
          <w:rFonts w:ascii="微软雅黑" w:hAnsi="微软雅黑"/>
          <w:sz w:val="21"/>
        </w:rPr>
        <w:t>Parquet</w:t>
      </w:r>
    </w:p>
    <w:p>
      <w:pPr>
        <w:pStyle w:val="ListBullet"/>
        <w:spacing w:line="360" w:lineRule="auto" w:after="120"/>
      </w:pPr>
      <w:r>
        <w:rPr>
          <w:rFonts w:ascii="微软雅黑" w:hAnsi="微软雅黑"/>
          <w:sz w:val="21"/>
        </w:rPr>
        <w:t>Avro</w:t>
      </w:r>
    </w:p>
    <w:p>
      <w:pPr>
        <w:pStyle w:val="ListBullet"/>
        <w:spacing w:line="360" w:lineRule="auto" w:after="120"/>
      </w:pPr>
      <w:r>
        <w:rPr>
          <w:rFonts w:ascii="微软雅黑" w:hAnsi="微软雅黑"/>
          <w:sz w:val="21"/>
        </w:rPr>
        <w:t>文本</w:t>
      </w:r>
    </w:p>
    <w:p>
      <w:pPr>
        <w:spacing w:line="360" w:lineRule="auto" w:after="120"/>
      </w:pPr>
      <w:r>
        <w:rPr>
          <w:rFonts w:ascii="微软雅黑" w:hAnsi="微软雅黑"/>
          <w:sz w:val="21"/>
        </w:rPr>
        <w:t>文本文件格式可用于表示多种文件类型，包括各种CSV格式或JSON文件。有关文本应如何解析的附加信息存储在一个名为</w:t>
      </w:r>
      <w:r>
        <w:rPr>
          <w:rFonts w:ascii="Consolas" w:hAnsi="Consolas"/>
          <w:color w:val="B43C3C"/>
          <w:sz w:val="18"/>
        </w:rPr>
        <w:t>customMetadata</w:t>
      </w:r>
      <w:r>
        <w:rPr>
          <w:rFonts w:ascii="微软雅黑" w:hAnsi="微软雅黑"/>
          <w:sz w:val="21"/>
        </w:rPr>
        <w:t>的模式字段中。</w:t>
      </w:r>
    </w:p>
    <w:p>
      <w:pPr>
        <w:spacing w:line="360" w:lineRule="auto" w:after="120"/>
      </w:pPr>
      <w:r>
        <w:rPr>
          <w:rFonts w:ascii="微软雅黑" w:hAnsi="微软雅黑"/>
          <w:sz w:val="21"/>
        </w:rPr>
        <w:t>实际上，对于非表格式（如JSON或XML），我们建议将文件存储在非结构化（无模式）数据集中，并在下游数据变换中应用模式，如</w:t>
      </w:r>
      <w:r>
        <w:rPr>
          <w:rFonts w:ascii="微软雅黑" w:hAnsi="微软雅黑"/>
          <w:color w:val="0066CC"/>
          <w:sz w:val="21"/>
          <w:u w:val="single"/>
        </w:rPr>
        <w:t>模式推断文档</w:t>
      </w:r>
      <w:r>
        <w:rPr>
          <w:rFonts w:ascii="微软雅黑" w:hAnsi="微软雅黑"/>
          <w:sz w:val="21"/>
        </w:rPr>
        <w:t>中所述。</w:t>
      </w:r>
    </w:p>
    <w:p>
      <w:pPr>
        <w:pStyle w:val="Heading2"/>
      </w:pPr>
      <w:r>
        <w:rPr>
          <w:rFonts w:ascii="微软雅黑" w:hAnsi="微软雅黑"/>
        </w:rPr>
        <w:t>支持文件系统</w:t>
      </w:r>
    </w:p>
    <w:p>
      <w:pPr>
        <w:spacing w:line="360" w:lineRule="auto" w:after="120"/>
      </w:pPr>
      <w:r>
        <w:rPr>
          <w:rFonts w:ascii="微软雅黑" w:hAnsi="微软雅黑"/>
          <w:sz w:val="21"/>
        </w:rPr>
        <w:t>在数据集中跟踪的文件不存储在Foundry本身。相反，维护了文件在Foundry中的*逻辑路径*与其在支持文件系统中的*物理路径*之间的映射。Foundry的支持文件系统由</w:t>
      </w:r>
      <w:r>
        <w:rPr>
          <w:rFonts w:ascii="微软雅黑" w:hAnsi="微软雅黑"/>
          <w:color w:val="0066CC"/>
          <w:sz w:val="21"/>
          <w:u w:val="single"/>
        </w:rPr>
        <w:t>Hadoop FileSystem ↗</w:t>
      </w:r>
      <w:r>
        <w:rPr>
          <w:rFonts w:ascii="微软雅黑" w:hAnsi="微软雅黑"/>
          <w:sz w:val="21"/>
        </w:rPr>
        <w:t>中的基础目录指定。这可以是自托管的HDFS集群，但更常见的是使用云存储提供商（如Amazon S3）配置。所有数据集文件都存储在支持文件系统基础目录下的文件夹层次结构中。</w:t>
      </w:r>
    </w:p>
    <w:p>
      <w:r>
        <w:br w:type="page"/>
      </w:r>
    </w:p>
    <w:p>
      <w:pPr>
        <w:pStyle w:val="Heading1"/>
      </w:pPr>
      <w:r>
        <w:rPr>
          <w:rFonts w:ascii="微软雅黑" w:hAnsi="微软雅黑"/>
        </w:rPr>
        <w:t>外部函数</w:t>
      </w:r>
    </w:p>
    <w:p>
      <w:pPr>
        <w:spacing w:line="360" w:lineRule="auto" w:after="120"/>
      </w:pPr>
      <w:r>
        <w:rPr>
          <w:rFonts w:ascii="微软雅黑" w:hAnsi="微软雅黑"/>
          <w:sz w:val="21"/>
        </w:rPr>
        <w:t># 外部函数</w:t>
      </w:r>
    </w:p>
    <w:p>
      <w:pPr>
        <w:spacing w:line="360" w:lineRule="auto" w:after="120"/>
      </w:pPr>
      <w:r>
        <w:rPr>
          <w:rFonts w:ascii="微软雅黑" w:hAnsi="微软雅黑"/>
          <w:sz w:val="21"/>
        </w:rPr>
        <w:t>外部函数允许您从一个函数调用</w:t>
      </w:r>
      <w:r>
        <w:rPr>
          <w:rFonts w:ascii="微软雅黑" w:hAnsi="微软雅黑"/>
          <w:color w:val="0066CC"/>
          <w:sz w:val="21"/>
          <w:u w:val="single"/>
        </w:rPr>
        <w:t>webhooks</w:t>
      </w:r>
      <w:r>
        <w:rPr>
          <w:rFonts w:ascii="微软雅黑" w:hAnsi="微软雅黑"/>
          <w:sz w:val="21"/>
        </w:rPr>
        <w:t>，并使用它们与外部系统交互。您可以从使用</w:t>
      </w:r>
      <w:r>
        <w:rPr>
          <w:rFonts w:ascii="微软雅黑" w:hAnsi="微软雅黑"/>
          <w:color w:val="0066CC"/>
          <w:sz w:val="21"/>
          <w:u w:val="single"/>
        </w:rPr>
        <w:t>Workshop</w:t>
      </w:r>
      <w:r>
        <w:rPr>
          <w:rFonts w:ascii="微软雅黑" w:hAnsi="微软雅黑"/>
          <w:sz w:val="21"/>
        </w:rPr>
        <w:t>、</w:t>
      </w:r>
      <w:r>
        <w:rPr>
          <w:rFonts w:ascii="微软雅黑" w:hAnsi="微软雅黑"/>
          <w:color w:val="0066CC"/>
          <w:sz w:val="21"/>
          <w:u w:val="single"/>
        </w:rPr>
        <w:t>操作</w:t>
      </w:r>
      <w:r>
        <w:rPr>
          <w:rFonts w:ascii="微软雅黑" w:hAnsi="微软雅黑"/>
          <w:sz w:val="21"/>
        </w:rPr>
        <w:t>和</w:t>
      </w:r>
      <w:r>
        <w:rPr>
          <w:rFonts w:ascii="微软雅黑" w:hAnsi="微软雅黑"/>
          <w:color w:val="0066CC"/>
          <w:sz w:val="21"/>
          <w:u w:val="single"/>
        </w:rPr>
        <w:t>函数</w:t>
      </w:r>
      <w:r>
        <w:rPr>
          <w:rFonts w:ascii="微软雅黑" w:hAnsi="微软雅黑"/>
          <w:sz w:val="21"/>
        </w:rPr>
        <w:t>构建的应用程序中调用这些系统。</w:t>
      </w:r>
    </w:p>
    <w:p>
      <w:pPr>
        <w:spacing w:line="360" w:lineRule="auto" w:after="120"/>
      </w:pPr>
      <w:r>
        <w:rPr>
          <w:rFonts w:ascii="微软雅黑" w:hAnsi="微软雅黑"/>
          <w:sz w:val="21"/>
        </w:rPr>
        <w:t>要在函数中使用webhook，您必须首先配置支持webhooks功能的</w:t>
      </w:r>
      <w:r>
        <w:rPr>
          <w:rFonts w:ascii="微软雅黑" w:hAnsi="微软雅黑"/>
          <w:color w:val="0066CC"/>
          <w:sz w:val="21"/>
          <w:u w:val="single"/>
        </w:rPr>
        <w:t>数据连接源</w:t>
      </w:r>
      <w:r>
        <w:rPr>
          <w:rFonts w:ascii="微软雅黑" w:hAnsi="微软雅黑"/>
          <w:sz w:val="21"/>
        </w:rPr>
        <w:t>。通常这将是一个</w:t>
      </w:r>
      <w:r>
        <w:rPr>
          <w:rFonts w:ascii="微软雅黑" w:hAnsi="微软雅黑"/>
          <w:color w:val="0066CC"/>
          <w:sz w:val="21"/>
          <w:u w:val="single"/>
        </w:rPr>
        <w:t>REST API源</w:t>
      </w:r>
      <w:r>
        <w:rPr>
          <w:rFonts w:ascii="微软雅黑" w:hAnsi="微软雅黑"/>
          <w:sz w:val="21"/>
        </w:rPr>
        <w:t>。一旦您有了配置了webhooks的源，您可以将该源导入到您的</w:t>
      </w:r>
      <w:r>
        <w:rPr>
          <w:rFonts w:ascii="微软雅黑" w:hAnsi="微软雅黑"/>
          <w:color w:val="0066CC"/>
          <w:sz w:val="21"/>
          <w:u w:val="single"/>
        </w:rPr>
        <w:t>函数库</w:t>
      </w:r>
      <w:r>
        <w:rPr>
          <w:rFonts w:ascii="微软雅黑" w:hAnsi="微软雅黑"/>
          <w:sz w:val="21"/>
        </w:rPr>
        <w:t>中，并创建调用webhooks和其他逻辑的函数。</w:t>
      </w:r>
    </w:p>
    <w:p>
      <w:pPr>
        <w:spacing w:line="360" w:lineRule="auto" w:after="120"/>
      </w:pPr>
      <w:r>
        <w:rPr>
          <w:rFonts w:ascii="微软雅黑" w:hAnsi="微软雅黑"/>
          <w:sz w:val="21"/>
        </w:rPr>
        <w:t>您可以将外部函数应用于各种应用案例，包括以下内容：</w:t>
      </w:r>
    </w:p>
    <w:p>
      <w:pPr>
        <w:pStyle w:val="ListBullet"/>
        <w:spacing w:line="360" w:lineRule="auto" w:after="120"/>
      </w:pPr>
      <w:r>
        <w:rPr>
          <w:rFonts w:ascii="微软雅黑" w:hAnsi="微软雅黑"/>
          <w:sz w:val="21"/>
        </w:rPr>
        <w:t>使用一个单一函数向外部服务器发出HTTP请求并创建记录，然后将匹配的记录写入Ontology。</w:t>
      </w:r>
    </w:p>
    <w:p>
      <w:pPr>
        <w:pStyle w:val="ListBullet"/>
        <w:spacing w:line="360" w:lineRule="auto" w:after="120"/>
      </w:pPr>
      <w:r>
        <w:rPr>
          <w:rFonts w:ascii="微软雅黑" w:hAnsi="微软雅黑"/>
          <w:sz w:val="21"/>
        </w:rPr>
        <w:t>将webhook调用包裹在自定义前后处理逻辑中。如果需要从函数输入到所需webhook请求输入参数的自定义逻辑，或者在进行Ontology编辑之前需要对webhook响应进行后处理，这将特别有用。</w:t>
      </w:r>
    </w:p>
    <w:p>
      <w:pPr>
        <w:pStyle w:val="ListBullet"/>
        <w:spacing w:line="360" w:lineRule="auto" w:after="120"/>
      </w:pPr>
      <w:r>
        <w:rPr>
          <w:rFonts w:ascii="微软雅黑" w:hAnsi="微软雅黑"/>
          <w:sz w:val="21"/>
        </w:rPr>
        <w:t>使用中间处理逻辑将多个外部webhook请求和Ontology编辑连接在一起。单个webhook无法执行动态数量的外部请求，但可以使用外部函数来实现。</w:t>
      </w:r>
    </w:p>
    <w:p>
      <w:pPr>
        <w:pStyle w:val="ListBullet"/>
        <w:spacing w:line="360" w:lineRule="auto" w:after="120"/>
      </w:pPr>
      <w:r>
        <w:rPr>
          <w:rFonts w:ascii="微软雅黑" w:hAnsi="微软雅黑"/>
          <w:sz w:val="21"/>
        </w:rPr>
        <w:t>使用只读请求查询外部系统，以在Workshop应用程序中暂时呈现数据。</w:t>
      </w:r>
    </w:p>
    <w:p>
      <w:pPr>
        <w:spacing w:line="360" w:lineRule="auto" w:after="120"/>
      </w:pPr>
      <w:r>
        <w:rPr>
          <w:rFonts w:ascii="微软雅黑" w:hAnsi="微软雅黑"/>
          <w:sz w:val="21"/>
        </w:rPr>
        <w:t>目前外部函数可能无法直接从TypeScript代码中进行任意API调用，而不首先在数据连接中将请求定义为webhook。</w:t>
      </w:r>
    </w:p>
    <w:p>
      <w:pPr>
        <w:pStyle w:val="Heading2"/>
      </w:pPr>
      <w:r>
        <w:rPr>
          <w:rFonts w:ascii="微软雅黑" w:hAnsi="微软雅黑"/>
        </w:rPr>
        <w:t>概念</w:t>
      </w:r>
    </w:p>
    <w:p>
      <w:pPr>
        <w:pStyle w:val="ListBullet"/>
        <w:spacing w:line="360" w:lineRule="auto" w:after="120"/>
      </w:pPr>
      <w:r>
        <w:rPr>
          <w:rFonts w:ascii="微软雅黑" w:hAnsi="微软雅黑"/>
          <w:color w:val="0066CC"/>
          <w:sz w:val="21"/>
          <w:u w:val="single"/>
        </w:rPr>
        <w:t>数据连接源</w:t>
      </w:r>
      <w:r>
        <w:rPr>
          <w:rFonts w:ascii="微软雅黑" w:hAnsi="微软雅黑"/>
          <w:sz w:val="21"/>
        </w:rPr>
        <w:t>表示与外部系统的连接，包括如何到达该系统的任何配置（例如网络详细信息），以及安全存储的凭据。</w:t>
      </w:r>
    </w:p>
    <w:p>
      <w:pPr>
        <w:pStyle w:val="ListBullet"/>
        <w:spacing w:line="360" w:lineRule="auto" w:after="120"/>
      </w:pPr>
      <w:r>
        <w:rPr>
          <w:rFonts w:ascii="微软雅黑" w:hAnsi="微软雅黑"/>
          <w:color w:val="0066CC"/>
          <w:sz w:val="21"/>
          <w:u w:val="single"/>
        </w:rPr>
        <w:t>Webhooks</w:t>
      </w:r>
      <w:r>
        <w:rPr>
          <w:rFonts w:ascii="微软雅黑" w:hAnsi="微软雅黑"/>
          <w:sz w:val="21"/>
        </w:rPr>
        <w:t>是某些源类型支持的一项功能，允许您构建结构化请求以交互方式运行并向该系统发送请求。</w:t>
      </w:r>
    </w:p>
    <w:p>
      <w:pPr>
        <w:pStyle w:val="ListBullet"/>
        <w:spacing w:line="360" w:lineRule="auto" w:after="120"/>
      </w:pPr>
      <w:r>
        <w:rPr>
          <w:rFonts w:ascii="微软雅黑" w:hAnsi="微软雅黑"/>
          <w:color w:val="0066CC"/>
          <w:sz w:val="21"/>
          <w:u w:val="single"/>
        </w:rPr>
        <w:t>Ontology编辑函数</w:t>
      </w:r>
      <w:r>
        <w:rPr>
          <w:rFonts w:ascii="微软雅黑" w:hAnsi="微软雅黑"/>
          <w:sz w:val="21"/>
        </w:rPr>
        <w:t>是一个</w:t>
      </w:r>
      <w:r>
        <w:rPr>
          <w:rFonts w:ascii="微软雅黑" w:hAnsi="微软雅黑"/>
          <w:color w:val="0066CC"/>
          <w:sz w:val="21"/>
          <w:u w:val="single"/>
        </w:rPr>
        <w:t>函数</w:t>
      </w:r>
      <w:r>
        <w:rPr>
          <w:rFonts w:ascii="微软雅黑" w:hAnsi="微软雅黑"/>
          <w:sz w:val="21"/>
        </w:rPr>
        <w:t>，可以稍后配置为</w:t>
      </w:r>
      <w:r>
        <w:rPr>
          <w:rFonts w:ascii="微软雅黑" w:hAnsi="微软雅黑"/>
          <w:color w:val="0066CC"/>
          <w:sz w:val="21"/>
          <w:u w:val="single"/>
        </w:rPr>
        <w:t>基于函数的操作</w:t>
      </w:r>
      <w:r>
        <w:rPr>
          <w:rFonts w:ascii="微软雅黑" w:hAnsi="微软雅黑"/>
          <w:sz w:val="21"/>
        </w:rPr>
        <w:t>以写回到一个对象。它使用</w:t>
      </w:r>
      <w:r>
        <w:rPr>
          <w:rFonts w:ascii="Consolas" w:hAnsi="Consolas"/>
          <w:color w:val="B43C3C"/>
          <w:sz w:val="18"/>
        </w:rPr>
        <w:t>@OntologyEditFunction()</w:t>
      </w:r>
      <w:r>
        <w:rPr>
          <w:rFonts w:ascii="微软雅黑" w:hAnsi="微软雅黑"/>
          <w:sz w:val="21"/>
        </w:rPr>
        <w:t>装饰器进行注释。</w:t>
      </w:r>
    </w:p>
    <w:p>
      <w:pPr>
        <w:pStyle w:val="ListBullet"/>
        <w:spacing w:line="360" w:lineRule="auto" w:after="120"/>
      </w:pPr>
      <w:r>
        <w:rPr>
          <w:rFonts w:ascii="微软雅黑" w:hAnsi="微软雅黑"/>
          <w:color w:val="0066CC"/>
          <w:sz w:val="21"/>
          <w:u w:val="single"/>
        </w:rPr>
        <w:t>查询函数</w:t>
      </w:r>
      <w:r>
        <w:rPr>
          <w:rFonts w:ascii="微软雅黑" w:hAnsi="微软雅黑"/>
          <w:sz w:val="21"/>
        </w:rPr>
        <w:t>是一个只读函数，不能有任何副作用，比如改变外部系统。它使用</w:t>
      </w:r>
      <w:r>
        <w:rPr>
          <w:rFonts w:ascii="Consolas" w:hAnsi="Consolas"/>
          <w:color w:val="B43C3C"/>
          <w:sz w:val="18"/>
        </w:rPr>
        <w:t>@Query()</w:t>
      </w:r>
      <w:r>
        <w:rPr>
          <w:rFonts w:ascii="微软雅黑" w:hAnsi="微软雅黑"/>
          <w:sz w:val="21"/>
        </w:rPr>
        <w:t>装饰器进行注释。</w:t>
      </w:r>
    </w:p>
    <w:p>
      <w:pPr>
        <w:pStyle w:val="Heading2"/>
      </w:pPr>
      <w:r>
        <w:rPr>
          <w:rFonts w:ascii="微软雅黑" w:hAnsi="微软雅黑"/>
        </w:rPr>
        <w:t>设置指南</w:t>
      </w:r>
    </w:p>
    <w:p>
      <w:pPr>
        <w:spacing w:line="360" w:lineRule="auto" w:after="120"/>
      </w:pPr>
      <w:r>
        <w:rPr>
          <w:rFonts w:ascii="微软雅黑" w:hAnsi="微软雅黑"/>
          <w:sz w:val="21"/>
        </w:rPr>
        <w:t>在以下设置指南中，我们将逐步创建一个调用</w:t>
      </w:r>
      <w:r>
        <w:rPr>
          <w:rFonts w:ascii="微软雅黑" w:hAnsi="微软雅黑"/>
          <w:color w:val="0066CC"/>
          <w:sz w:val="21"/>
          <w:u w:val="single"/>
        </w:rPr>
        <w:t>免费公共词典API ↗</w:t>
      </w:r>
      <w:r>
        <w:rPr>
          <w:rFonts w:ascii="微软雅黑" w:hAnsi="微软雅黑"/>
          <w:sz w:val="21"/>
        </w:rPr>
        <w:t>的webhook。如果您已经有一个配置了webhooks的现有源，请继续前往</w:t>
      </w:r>
      <w:r>
        <w:rPr>
          <w:rFonts w:ascii="微软雅黑" w:hAnsi="微软雅黑"/>
          <w:color w:val="0066CC"/>
          <w:sz w:val="21"/>
          <w:u w:val="single"/>
        </w:rPr>
        <w:t>函数中的外部源</w:t>
      </w:r>
      <w:r>
        <w:rPr>
          <w:rFonts w:ascii="微软雅黑" w:hAnsi="微软雅黑"/>
          <w:sz w:val="21"/>
        </w:rPr>
        <w:t>以从函数中调用webhooks。</w:t>
      </w:r>
    </w:p>
    <w:p>
      <w:pPr>
        <w:spacing w:line="360" w:lineRule="auto" w:after="120"/>
      </w:pPr>
      <w:r>
        <w:rPr>
          <w:rFonts w:ascii="微软雅黑" w:hAnsi="微软雅黑"/>
          <w:sz w:val="21"/>
        </w:rPr>
        <w:t>此处说明的词典API与Palantir无关，可能随时更改。本教程不构成对生产应用案例使用此API的认可、推荐或建议。</w:t>
      </w:r>
    </w:p>
    <w:p>
      <w:pPr>
        <w:pStyle w:val="Heading3"/>
      </w:pPr>
      <w:r>
        <w:rPr>
          <w:rFonts w:ascii="微软雅黑" w:hAnsi="微软雅黑"/>
        </w:rPr>
        <w:t>创建数据连接源</w:t>
      </w:r>
    </w:p>
    <w:p>
      <w:pPr>
        <w:spacing w:line="360" w:lineRule="auto" w:after="120"/>
      </w:pPr>
      <w:r>
        <w:rPr>
          <w:rFonts w:ascii="微软雅黑" w:hAnsi="微软雅黑"/>
          <w:sz w:val="21"/>
        </w:rPr>
        <w:t>要从函数连接到外部系统，您必须具有一个可以连接到所需外部API的REST API源。您可以按照以下说明配置新的REST API源。</w:t>
      </w:r>
    </w:p>
    <w:p>
      <w:pPr>
        <w:pStyle w:val="ListNumber"/>
        <w:spacing w:line="360" w:lineRule="auto" w:after="120"/>
      </w:pPr>
      <w:r>
        <w:rPr>
          <w:rFonts w:ascii="微软雅黑" w:hAnsi="微软雅黑"/>
          <w:sz w:val="21"/>
        </w:rPr>
        <w:t>导航到Foundry中的数据连接应用程序并选择</w:t>
      </w:r>
      <w:r>
        <w:rPr>
          <w:rFonts w:ascii="微软雅黑" w:hAnsi="微软雅黑"/>
          <w:b/>
          <w:sz w:val="21"/>
        </w:rPr>
        <w:t>新建源</w:t>
      </w:r>
      <w:r>
        <w:rPr>
          <w:rFonts w:ascii="微软雅黑" w:hAnsi="微软雅黑"/>
          <w:sz w:val="21"/>
        </w:rPr>
        <w:t>。从选项列表中选择</w:t>
      </w:r>
      <w:r>
        <w:rPr>
          <w:rFonts w:ascii="微软雅黑" w:hAnsi="微软雅黑"/>
          <w:b/>
          <w:sz w:val="21"/>
        </w:rPr>
        <w:t>REST API</w:t>
      </w:r>
      <w:r>
        <w:rPr>
          <w:rFonts w:ascii="微软雅黑" w:hAnsi="微软雅黑"/>
          <w:sz w:val="21"/>
        </w:rPr>
        <w:t>。</w:t>
      </w:r>
    </w:p>
    <w:p>
      <w:pPr>
        <w:spacing w:after="40"/>
        <w:jc w:val="center"/>
      </w:pPr>
      <w:r>
        <w:rPr>
          <w:i/>
          <w:color w:val="646464"/>
          <w:sz w:val="18"/>
        </w:rPr>
        <w:t>图：数据连接新源页面，红色框选中的REST API卡片</w:t>
      </w:r>
    </w:p>
    <w:p>
      <w:pPr>
        <w:spacing w:before="120" w:after="240"/>
        <w:jc w:val="center"/>
      </w:pPr>
      <w:r>
        <w:drawing>
          <wp:inline xmlns:a="http://schemas.openxmlformats.org/drawingml/2006/main" xmlns:pic="http://schemas.openxmlformats.org/drawingml/2006/picture">
            <wp:extent cx="5029200" cy="2855760"/>
            <wp:docPr id="20" name="Picture 20"/>
            <wp:cNvGraphicFramePr>
              <a:graphicFrameLocks noChangeAspect="1"/>
            </wp:cNvGraphicFramePr>
            <a:graphic>
              <a:graphicData uri="http://schemas.openxmlformats.org/drawingml/2006/picture">
                <pic:pic>
                  <pic:nvPicPr>
                    <pic:cNvPr id="0" name="external-functions-choose-rest-api-source.png"/>
                    <pic:cNvPicPr/>
                  </pic:nvPicPr>
                  <pic:blipFill>
                    <a:blip r:embed="rId28"/>
                    <a:stretch>
                      <a:fillRect/>
                    </a:stretch>
                  </pic:blipFill>
                  <pic:spPr>
                    <a:xfrm>
                      <a:off x="0" y="0"/>
                      <a:ext cx="5029200" cy="2855760"/>
                    </a:xfrm>
                    <a:prstGeom prst="rect"/>
                  </pic:spPr>
                </pic:pic>
              </a:graphicData>
            </a:graphic>
          </wp:inline>
        </w:drawing>
      </w:r>
    </w:p>
    <w:p>
      <w:pPr>
        <w:pStyle w:val="ListNumber"/>
        <w:spacing w:line="360" w:lineRule="auto" w:after="120"/>
      </w:pPr>
      <w:r>
        <w:rPr>
          <w:rFonts w:ascii="微软雅黑" w:hAnsi="微软雅黑"/>
          <w:sz w:val="21"/>
        </w:rPr>
        <w:t>查看</w:t>
      </w:r>
      <w:r>
        <w:rPr>
          <w:rFonts w:ascii="微软雅黑" w:hAnsi="微软雅黑"/>
          <w:b/>
          <w:sz w:val="21"/>
        </w:rPr>
        <w:t>概览</w:t>
      </w:r>
      <w:r>
        <w:rPr>
          <w:rFonts w:ascii="微软雅黑" w:hAnsi="微软雅黑"/>
          <w:sz w:val="21"/>
        </w:rPr>
        <w:t>页面，然后选择右下角的</w:t>
      </w:r>
      <w:r>
        <w:rPr>
          <w:rFonts w:ascii="微软雅黑" w:hAnsi="微软雅黑"/>
          <w:b/>
          <w:sz w:val="21"/>
        </w:rPr>
        <w:t>继续</w:t>
      </w:r>
      <w:r>
        <w:rPr>
          <w:rFonts w:ascii="微软雅黑" w:hAnsi="微软雅黑"/>
          <w:sz w:val="21"/>
        </w:rPr>
        <w:t>。系统将提示您选择连接运行时：直接连接，通过代理或通过代理代理。直接连接是与互联网可访问的任何事物交互时的首选方法，我们将使用它连接到我们的免费词典API。</w:t>
      </w:r>
    </w:p>
    <w:p>
      <w:pPr>
        <w:pStyle w:val="ListNumber"/>
        <w:spacing w:line="360" w:lineRule="auto" w:after="120"/>
      </w:pPr>
      <w:r>
        <w:rPr>
          <w:rFonts w:ascii="微软雅黑" w:hAnsi="微软雅黑"/>
          <w:sz w:val="21"/>
        </w:rPr>
        <w:t>为您的源选择一个名称，并选择应保存到的项目。</w:t>
      </w:r>
    </w:p>
    <w:p>
      <w:pPr>
        <w:pStyle w:val="ListNumber"/>
        <w:spacing w:line="360" w:lineRule="auto" w:after="120"/>
      </w:pPr>
      <w:r>
        <w:rPr>
          <w:rFonts w:ascii="微软雅黑" w:hAnsi="微软雅黑"/>
          <w:sz w:val="21"/>
        </w:rPr>
        <w:t>在</w:t>
      </w:r>
      <w:r>
        <w:rPr>
          <w:rFonts w:ascii="微软雅黑" w:hAnsi="微软雅黑"/>
          <w:b/>
          <w:sz w:val="21"/>
        </w:rPr>
        <w:t>域</w:t>
      </w:r>
      <w:r>
        <w:rPr>
          <w:rFonts w:ascii="微软雅黑" w:hAnsi="微软雅黑"/>
          <w:sz w:val="21"/>
        </w:rPr>
        <w:t>部分填写API源的连接信息。我们的免费词典API示例的配置如下所示：</w:t>
      </w:r>
    </w:p>
    <w:p>
      <w:pPr>
        <w:spacing w:after="40"/>
        <w:jc w:val="center"/>
      </w:pPr>
      <w:r>
        <w:rPr>
          <w:i/>
          <w:color w:val="646464"/>
          <w:sz w:val="18"/>
        </w:rPr>
        <w:t>图：REST API源创建页面，显示连接到api.dictionaryapi.dev的配置，无需任何身份验证</w:t>
      </w:r>
    </w:p>
    <w:p>
      <w:pPr>
        <w:spacing w:before="120" w:after="240"/>
        <w:jc w:val="center"/>
      </w:pPr>
      <w:r>
        <w:drawing>
          <wp:inline xmlns:a="http://schemas.openxmlformats.org/drawingml/2006/main" xmlns:pic="http://schemas.openxmlformats.org/drawingml/2006/picture">
            <wp:extent cx="5029200" cy="2852431"/>
            <wp:docPr id="21" name="Picture 21"/>
            <wp:cNvGraphicFramePr>
              <a:graphicFrameLocks noChangeAspect="1"/>
            </wp:cNvGraphicFramePr>
            <a:graphic>
              <a:graphicData uri="http://schemas.openxmlformats.org/drawingml/2006/picture">
                <pic:pic>
                  <pic:nvPicPr>
                    <pic:cNvPr id="0" name="external-functions-configure-dictionary-api-source.png"/>
                    <pic:cNvPicPr/>
                  </pic:nvPicPr>
                  <pic:blipFill>
                    <a:blip r:embed="rId29"/>
                    <a:stretch>
                      <a:fillRect/>
                    </a:stretch>
                  </pic:blipFill>
                  <pic:spPr>
                    <a:xfrm>
                      <a:off x="0" y="0"/>
                      <a:ext cx="5029200" cy="2852431"/>
                    </a:xfrm>
                    <a:prstGeom prst="rect"/>
                  </pic:spPr>
                </pic:pic>
              </a:graphicData>
            </a:graphic>
          </wp:inline>
        </w:drawing>
      </w:r>
    </w:p>
    <w:p>
      <w:pPr>
        <w:pStyle w:val="ListNumber"/>
        <w:spacing w:line="360" w:lineRule="auto" w:after="120"/>
      </w:pPr>
      <w:r>
        <w:rPr>
          <w:rFonts w:ascii="微软雅黑" w:hAnsi="微软雅黑"/>
          <w:sz w:val="21"/>
        </w:rPr>
        <w:t>对于此示例，我们还需要创建必要的出口策略。如果您完成了上一步，策略将在</w:t>
      </w:r>
      <w:r>
        <w:rPr>
          <w:rFonts w:ascii="微软雅黑" w:hAnsi="微软雅黑"/>
          <w:b/>
          <w:sz w:val="21"/>
        </w:rPr>
        <w:t>网络连接</w:t>
      </w:r>
      <w:r>
        <w:rPr>
          <w:rFonts w:ascii="微软雅黑" w:hAnsi="微软雅黑"/>
          <w:sz w:val="21"/>
        </w:rPr>
        <w:t>部分中自动建议：</w:t>
      </w:r>
    </w:p>
    <w:p>
      <w:pPr>
        <w:spacing w:after="40"/>
        <w:jc w:val="center"/>
      </w:pPr>
      <w:r>
        <w:rPr>
          <w:i/>
          <w:color w:val="646464"/>
          <w:sz w:val="18"/>
        </w:rPr>
        <w:t>图：建议出口面板，显示针对api.dictionaryapi.dev端口443的建议策略</w:t>
      </w:r>
    </w:p>
    <w:p>
      <w:pPr>
        <w:spacing w:before="120" w:after="240"/>
        <w:jc w:val="center"/>
      </w:pPr>
      <w:r>
        <w:drawing>
          <wp:inline xmlns:a="http://schemas.openxmlformats.org/drawingml/2006/main" xmlns:pic="http://schemas.openxmlformats.org/drawingml/2006/picture">
            <wp:extent cx="5029200" cy="1210085"/>
            <wp:docPr id="22" name="Picture 22"/>
            <wp:cNvGraphicFramePr>
              <a:graphicFrameLocks noChangeAspect="1"/>
            </wp:cNvGraphicFramePr>
            <a:graphic>
              <a:graphicData uri="http://schemas.openxmlformats.org/drawingml/2006/picture">
                <pic:pic>
                  <pic:nvPicPr>
                    <pic:cNvPr id="0" name="external-functions-suggested-egress-for-dictionary-api.png"/>
                    <pic:cNvPicPr/>
                  </pic:nvPicPr>
                  <pic:blipFill>
                    <a:blip r:embed="rId30"/>
                    <a:stretch>
                      <a:fillRect/>
                    </a:stretch>
                  </pic:blipFill>
                  <pic:spPr>
                    <a:xfrm>
                      <a:off x="0" y="0"/>
                      <a:ext cx="5029200" cy="1210085"/>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保存</w:t>
      </w:r>
      <w:r>
        <w:rPr>
          <w:rFonts w:ascii="微软雅黑" w:hAnsi="微软雅黑"/>
          <w:sz w:val="21"/>
        </w:rPr>
        <w:t>，然后选择</w:t>
      </w:r>
      <w:r>
        <w:rPr>
          <w:rFonts w:ascii="微软雅黑" w:hAnsi="微软雅黑"/>
          <w:b/>
          <w:sz w:val="21"/>
        </w:rPr>
        <w:t>保存并继续</w:t>
      </w:r>
      <w:r>
        <w:rPr>
          <w:rFonts w:ascii="微软雅黑" w:hAnsi="微软雅黑"/>
          <w:sz w:val="21"/>
        </w:rPr>
        <w:t>以完成源设置。在我们配置要在此源上使用的webhook之前，请返回源的</w:t>
      </w:r>
      <w:r>
        <w:rPr>
          <w:rFonts w:ascii="微软雅黑" w:hAnsi="微软雅黑"/>
          <w:b/>
          <w:sz w:val="21"/>
        </w:rPr>
        <w:t>概览</w:t>
      </w:r>
      <w:r>
        <w:rPr>
          <w:rFonts w:ascii="微软雅黑" w:hAnsi="微软雅黑"/>
          <w:sz w:val="21"/>
        </w:rPr>
        <w:t>页面并确保设置了API名称。此名称用于在代码中引用源。</w:t>
      </w:r>
    </w:p>
    <w:p>
      <w:pPr>
        <w:spacing w:after="40"/>
        <w:jc w:val="center"/>
      </w:pPr>
      <w:r>
        <w:rPr>
          <w:i/>
          <w:color w:val="646464"/>
          <w:sz w:val="18"/>
        </w:rPr>
        <w:t>图：设置源API名称的对话框，显示API名称为MyDictionarySource</w:t>
      </w:r>
    </w:p>
    <w:p>
      <w:pPr>
        <w:spacing w:before="120" w:after="240"/>
        <w:jc w:val="center"/>
      </w:pPr>
      <w:r>
        <w:drawing>
          <wp:inline xmlns:a="http://schemas.openxmlformats.org/drawingml/2006/main" xmlns:pic="http://schemas.openxmlformats.org/drawingml/2006/picture">
            <wp:extent cx="5029200" cy="2843892"/>
            <wp:docPr id="23" name="Picture 23"/>
            <wp:cNvGraphicFramePr>
              <a:graphicFrameLocks noChangeAspect="1"/>
            </wp:cNvGraphicFramePr>
            <a:graphic>
              <a:graphicData uri="http://schemas.openxmlformats.org/drawingml/2006/picture">
                <pic:pic>
                  <pic:nvPicPr>
                    <pic:cNvPr id="0" name="external-functions-set-api-name-for-source.png"/>
                    <pic:cNvPicPr/>
                  </pic:nvPicPr>
                  <pic:blipFill>
                    <a:blip r:embed="rId31"/>
                    <a:stretch>
                      <a:fillRect/>
                    </a:stretch>
                  </pic:blipFill>
                  <pic:spPr>
                    <a:xfrm>
                      <a:off x="0" y="0"/>
                      <a:ext cx="5029200" cy="2843892"/>
                    </a:xfrm>
                    <a:prstGeom prst="rect"/>
                  </pic:spPr>
                </pic:pic>
              </a:graphicData>
            </a:graphic>
          </wp:inline>
        </w:drawing>
      </w:r>
    </w:p>
    <w:p>
      <w:pPr>
        <w:pStyle w:val="Heading3"/>
      </w:pPr>
      <w:r>
        <w:rPr>
          <w:rFonts w:ascii="微软雅黑" w:hAnsi="微软雅黑"/>
        </w:rPr>
        <w:t>在数据连接源上创建webhook</w:t>
      </w:r>
    </w:p>
    <w:p>
      <w:pPr>
        <w:spacing w:line="360" w:lineRule="auto" w:after="120"/>
      </w:pPr>
      <w:r>
        <w:rPr>
          <w:rFonts w:ascii="微软雅黑" w:hAnsi="微软雅黑"/>
          <w:sz w:val="21"/>
        </w:rPr>
        <w:t>现在，您必须在之前配置的REST API源上设置webhook。在您可以从函数中调用webhook之前，您必须配置webhook并为其指派API名称。一个数据连接源可能有多个与之关联的webhooks。请注意，您的源API名称在命名空间中应是唯一的，并且webhook API名称在源中必须是唯一的。</w:t>
      </w:r>
    </w:p>
    <w:p>
      <w:pPr>
        <w:spacing w:line="360" w:lineRule="auto" w:after="120"/>
      </w:pPr>
      <w:r>
        <w:rPr>
          <w:rFonts w:ascii="微软雅黑" w:hAnsi="微软雅黑"/>
          <w:sz w:val="21"/>
        </w:rPr>
        <w:t>请按照以下步骤配置一个webhook，以请求词典API来获取单个单词的定义。</w:t>
      </w:r>
    </w:p>
    <w:p>
      <w:pPr>
        <w:pStyle w:val="ListNumber"/>
        <w:spacing w:line="360" w:lineRule="auto" w:after="120"/>
      </w:pPr>
      <w:r>
        <w:rPr>
          <w:rFonts w:ascii="微软雅黑" w:hAnsi="微软雅黑"/>
          <w:sz w:val="21"/>
        </w:rPr>
        <w:t>在源的</w:t>
      </w:r>
      <w:r>
        <w:rPr>
          <w:rFonts w:ascii="微软雅黑" w:hAnsi="微软雅黑"/>
          <w:b/>
          <w:sz w:val="21"/>
        </w:rPr>
        <w:t>概览</w:t>
      </w:r>
      <w:r>
        <w:rPr>
          <w:rFonts w:ascii="微软雅黑" w:hAnsi="微软雅黑"/>
          <w:sz w:val="21"/>
        </w:rPr>
        <w:t>页面上，选择</w:t>
      </w:r>
      <w:r>
        <w:rPr>
          <w:rFonts w:ascii="微软雅黑" w:hAnsi="微软雅黑"/>
          <w:b/>
          <w:sz w:val="21"/>
        </w:rPr>
        <w:t>创建webhook</w:t>
      </w:r>
      <w:r>
        <w:rPr>
          <w:rFonts w:ascii="微软雅黑" w:hAnsi="微软雅黑"/>
          <w:sz w:val="21"/>
        </w:rPr>
        <w:t>。为webhook命名、描述并指定API名称。与API源一样，我们将在代码中引用webhook。</w:t>
      </w:r>
    </w:p>
    <w:p>
      <w:pPr>
        <w:spacing w:after="40"/>
        <w:jc w:val="center"/>
      </w:pPr>
      <w:r>
        <w:rPr>
          <w:i/>
          <w:color w:val="646464"/>
          <w:sz w:val="18"/>
        </w:rPr>
        <w:t>图：新webhook页面，显示名为getDefinition的webhook</w:t>
      </w:r>
    </w:p>
    <w:p>
      <w:pPr>
        <w:spacing w:before="120" w:after="240"/>
        <w:jc w:val="center"/>
      </w:pPr>
      <w:r>
        <w:drawing>
          <wp:inline xmlns:a="http://schemas.openxmlformats.org/drawingml/2006/main" xmlns:pic="http://schemas.openxmlformats.org/drawingml/2006/picture">
            <wp:extent cx="5029200" cy="2849103"/>
            <wp:docPr id="24" name="Picture 24"/>
            <wp:cNvGraphicFramePr>
              <a:graphicFrameLocks noChangeAspect="1"/>
            </wp:cNvGraphicFramePr>
            <a:graphic>
              <a:graphicData uri="http://schemas.openxmlformats.org/drawingml/2006/picture">
                <pic:pic>
                  <pic:nvPicPr>
                    <pic:cNvPr id="0" name="external-functions-create-dictionary-api-webhook.png"/>
                    <pic:cNvPicPr/>
                  </pic:nvPicPr>
                  <pic:blipFill>
                    <a:blip r:embed="rId32"/>
                    <a:stretch>
                      <a:fillRect/>
                    </a:stretch>
                  </pic:blipFill>
                  <pic:spPr>
                    <a:xfrm>
                      <a:off x="0" y="0"/>
                      <a:ext cx="5029200" cy="2849103"/>
                    </a:xfrm>
                    <a:prstGeom prst="rect"/>
                  </pic:spPr>
                </pic:pic>
              </a:graphicData>
            </a:graphic>
          </wp:inline>
        </w:drawing>
      </w:r>
    </w:p>
    <w:p>
      <w:pPr>
        <w:pStyle w:val="ListNumber"/>
        <w:spacing w:line="360" w:lineRule="auto" w:after="120"/>
      </w:pPr>
      <w:r>
        <w:rPr>
          <w:rFonts w:ascii="微软雅黑" w:hAnsi="微软雅黑"/>
          <w:sz w:val="21"/>
        </w:rPr>
        <w:t>定义一个在执行webhook时传入的参数。在我们的示例中，我们将使用一个单一字符串输入参数</w:t>
      </w:r>
      <w:r>
        <w:rPr>
          <w:rFonts w:ascii="Consolas" w:hAnsi="Consolas"/>
          <w:color w:val="B43C3C"/>
          <w:sz w:val="18"/>
        </w:rPr>
        <w:t>wordToDefine</w:t>
      </w:r>
      <w:r>
        <w:rPr>
          <w:rFonts w:ascii="微软雅黑" w:hAnsi="微软雅黑"/>
          <w:sz w:val="21"/>
        </w:rPr>
        <w:t>。</w:t>
      </w:r>
    </w:p>
    <w:p>
      <w:pPr>
        <w:spacing w:after="40"/>
        <w:jc w:val="center"/>
      </w:pPr>
      <w:r>
        <w:rPr>
          <w:i/>
          <w:color w:val="646464"/>
          <w:sz w:val="18"/>
        </w:rPr>
        <w:t>图：API源中的webhook配置屏幕</w:t>
      </w:r>
    </w:p>
    <w:p>
      <w:pPr>
        <w:spacing w:before="120" w:after="240"/>
        <w:jc w:val="center"/>
      </w:pPr>
      <w:r>
        <w:drawing>
          <wp:inline xmlns:a="http://schemas.openxmlformats.org/drawingml/2006/main" xmlns:pic="http://schemas.openxmlformats.org/drawingml/2006/picture">
            <wp:extent cx="5029200" cy="2854320"/>
            <wp:docPr id="25" name="Picture 25"/>
            <wp:cNvGraphicFramePr>
              <a:graphicFrameLocks noChangeAspect="1"/>
            </wp:cNvGraphicFramePr>
            <a:graphic>
              <a:graphicData uri="http://schemas.openxmlformats.org/drawingml/2006/picture">
                <pic:pic>
                  <pic:nvPicPr>
                    <pic:cNvPr id="0" name="external-functions-create-dictionary-api-webhook-input.png"/>
                    <pic:cNvPicPr/>
                  </pic:nvPicPr>
                  <pic:blipFill>
                    <a:blip r:embed="rId33"/>
                    <a:stretch>
                      <a:fillRect/>
                    </a:stretch>
                  </pic:blipFill>
                  <pic:spPr>
                    <a:xfrm>
                      <a:off x="0" y="0"/>
                      <a:ext cx="5029200" cy="2854320"/>
                    </a:xfrm>
                    <a:prstGeom prst="rect"/>
                  </pic:spPr>
                </pic:pic>
              </a:graphicData>
            </a:graphic>
          </wp:inline>
        </w:drawing>
      </w:r>
    </w:p>
    <w:p>
      <w:pPr>
        <w:pStyle w:val="ListNumber"/>
        <w:spacing w:line="360" w:lineRule="auto" w:after="120"/>
      </w:pPr>
      <w:r>
        <w:rPr>
          <w:rFonts w:ascii="微软雅黑" w:hAnsi="微软雅黑"/>
          <w:sz w:val="21"/>
        </w:rPr>
        <w:t>现在，在URL中填入词典资源路径，并在最后引用输入参数，如下所示：</w:t>
      </w:r>
    </w:p>
    <w:p>
      <w:pPr>
        <w:spacing w:after="40"/>
        <w:jc w:val="center"/>
      </w:pPr>
      <w:r>
        <w:rPr>
          <w:i/>
          <w:color w:val="646464"/>
          <w:sz w:val="18"/>
        </w:rPr>
        <w:t>图：词典API资源路径，添加输入参数以返回正确的数据。</w:t>
      </w:r>
    </w:p>
    <w:p>
      <w:pPr>
        <w:spacing w:before="120" w:after="240"/>
        <w:jc w:val="center"/>
      </w:pPr>
      <w:r>
        <w:drawing>
          <wp:inline xmlns:a="http://schemas.openxmlformats.org/drawingml/2006/main" xmlns:pic="http://schemas.openxmlformats.org/drawingml/2006/picture">
            <wp:extent cx="5029200" cy="2847219"/>
            <wp:docPr id="26" name="Picture 26"/>
            <wp:cNvGraphicFramePr>
              <a:graphicFrameLocks noChangeAspect="1"/>
            </wp:cNvGraphicFramePr>
            <a:graphic>
              <a:graphicData uri="http://schemas.openxmlformats.org/drawingml/2006/picture">
                <pic:pic>
                  <pic:nvPicPr>
                    <pic:cNvPr id="0" name="external-functions-create-dictionary-api-webhook-call.png"/>
                    <pic:cNvPicPr/>
                  </pic:nvPicPr>
                  <pic:blipFill>
                    <a:blip r:embed="rId34"/>
                    <a:stretch>
                      <a:fillRect/>
                    </a:stretch>
                  </pic:blipFill>
                  <pic:spPr>
                    <a:xfrm>
                      <a:off x="0" y="0"/>
                      <a:ext cx="5029200" cy="2847219"/>
                    </a:xfrm>
                    <a:prstGeom prst="rect"/>
                  </pic:spPr>
                </pic:pic>
              </a:graphicData>
            </a:graphic>
          </wp:inline>
        </w:drawing>
      </w:r>
    </w:p>
    <w:p>
      <w:pPr>
        <w:spacing w:line="360" w:lineRule="auto" w:after="120"/>
      </w:pPr>
      <w:r>
        <w:rPr>
          <w:rFonts w:ascii="微软雅黑" w:hAnsi="微软雅黑"/>
          <w:sz w:val="21"/>
        </w:rPr>
        <w:t>在我们的示例中，API是一个不修改任何数据的GET请求。因此，我们将保留默认设置</w:t>
      </w:r>
      <w:r>
        <w:rPr>
          <w:rFonts w:ascii="Consolas" w:hAnsi="Consolas"/>
          <w:color w:val="B43C3C"/>
          <w:sz w:val="18"/>
        </w:rPr>
        <w:t>Read API</w:t>
      </w:r>
      <w:r>
        <w:rPr>
          <w:rFonts w:ascii="微软雅黑" w:hAnsi="微软雅黑"/>
          <w:sz w:val="21"/>
        </w:rPr>
        <w:t>，允许webhook在两种类型的函数中使用：</w:t>
      </w:r>
      <w:r>
        <w:rPr>
          <w:rFonts w:ascii="Consolas" w:hAnsi="Consolas"/>
          <w:color w:val="B43C3C"/>
          <w:sz w:val="18"/>
        </w:rPr>
        <w:t>@Query()</w:t>
      </w:r>
      <w:r>
        <w:rPr>
          <w:rFonts w:ascii="微软雅黑" w:hAnsi="微软雅黑"/>
          <w:sz w:val="21"/>
        </w:rPr>
        <w:t>和</w:t>
      </w:r>
      <w:r>
        <w:rPr>
          <w:rFonts w:ascii="Consolas" w:hAnsi="Consolas"/>
          <w:color w:val="B43C3C"/>
          <w:sz w:val="18"/>
        </w:rPr>
        <w:t>@OntologyEditFunction()</w:t>
      </w:r>
      <w:r>
        <w:rPr>
          <w:rFonts w:ascii="微软雅黑" w:hAnsi="微软雅黑"/>
          <w:sz w:val="21"/>
        </w:rPr>
        <w:t>。标记为</w:t>
      </w:r>
      <w:r>
        <w:rPr>
          <w:rFonts w:ascii="Consolas" w:hAnsi="Consolas"/>
          <w:color w:val="B43C3C"/>
          <w:sz w:val="18"/>
        </w:rPr>
        <w:t>Write API</w:t>
      </w:r>
      <w:r>
        <w:rPr>
          <w:rFonts w:ascii="微软雅黑" w:hAnsi="微软雅黑"/>
          <w:sz w:val="21"/>
        </w:rPr>
        <w:t>的webhooks可能只能在</w:t>
      </w:r>
      <w:r>
        <w:rPr>
          <w:rFonts w:ascii="Consolas" w:hAnsi="Consolas"/>
          <w:color w:val="B43C3C"/>
          <w:sz w:val="18"/>
        </w:rPr>
        <w:t>@OntologyEditFunction()</w:t>
      </w:r>
      <w:r>
        <w:rPr>
          <w:rFonts w:ascii="微软雅黑" w:hAnsi="微软雅黑"/>
          <w:sz w:val="21"/>
        </w:rPr>
        <w:t>中使用。</w:t>
      </w:r>
    </w:p>
    <w:p>
      <w:pPr>
        <w:pStyle w:val="ListNumber"/>
        <w:spacing w:line="360" w:lineRule="auto" w:after="120"/>
      </w:pPr>
      <w:r>
        <w:rPr>
          <w:rFonts w:ascii="微软雅黑" w:hAnsi="微软雅黑"/>
          <w:sz w:val="21"/>
        </w:rPr>
        <w:t>在下一页面，您将看到一个面板，允许您以当前配置执行webhook。如果您运行webhook，您将看到未解析的响应：</w:t>
      </w:r>
    </w:p>
    <w:p>
      <w:pPr>
        <w:spacing w:after="40"/>
        <w:jc w:val="center"/>
      </w:pPr>
      <w:r>
        <w:rPr>
          <w:i/>
          <w:color w:val="646464"/>
          <w:sz w:val="18"/>
        </w:rPr>
        <w:t>图：API源webhook响应测试。</w:t>
      </w:r>
    </w:p>
    <w:p>
      <w:pPr>
        <w:spacing w:before="120" w:after="240"/>
        <w:jc w:val="center"/>
      </w:pPr>
      <w:r>
        <w:drawing>
          <wp:inline xmlns:a="http://schemas.openxmlformats.org/drawingml/2006/main" xmlns:pic="http://schemas.openxmlformats.org/drawingml/2006/picture">
            <wp:extent cx="5029200" cy="2849103"/>
            <wp:docPr id="27" name="Picture 27"/>
            <wp:cNvGraphicFramePr>
              <a:graphicFrameLocks noChangeAspect="1"/>
            </wp:cNvGraphicFramePr>
            <a:graphic>
              <a:graphicData uri="http://schemas.openxmlformats.org/drawingml/2006/picture">
                <pic:pic>
                  <pic:nvPicPr>
                    <pic:cNvPr id="0" name="external-functions-dictionary-api-webhook-test-connection.png"/>
                    <pic:cNvPicPr/>
                  </pic:nvPicPr>
                  <pic:blipFill>
                    <a:blip r:embed="rId35"/>
                    <a:stretch>
                      <a:fillRect/>
                    </a:stretch>
                  </pic:blipFill>
                  <pic:spPr>
                    <a:xfrm>
                      <a:off x="0" y="0"/>
                      <a:ext cx="5029200" cy="2849103"/>
                    </a:xfrm>
                    <a:prstGeom prst="rect"/>
                  </pic:spPr>
                </pic:pic>
              </a:graphicData>
            </a:graphic>
          </wp:inline>
        </w:drawing>
      </w:r>
    </w:p>
    <w:p>
      <w:pPr>
        <w:pStyle w:val="ListNumber"/>
        <w:spacing w:line="360" w:lineRule="auto" w:after="120"/>
      </w:pPr>
      <w:r>
        <w:rPr>
          <w:rFonts w:ascii="微软雅黑" w:hAnsi="微软雅黑"/>
          <w:sz w:val="21"/>
        </w:rPr>
        <w:t>Webhooks允许从外部系统返回的响应对象中提取字段，并根据类型化模式解析字段。在此示例中，我们将提取每个返回词性的一组定义。运行webhook以确保对常见单词（例如“technology”）返回一些输出。</w:t>
      </w:r>
    </w:p>
    <w:p>
      <w:pPr>
        <w:spacing w:line="360" w:lineRule="auto" w:after="120"/>
      </w:pPr>
      <w:r>
        <w:rPr>
          <w:rFonts w:ascii="微软雅黑" w:hAnsi="微软雅黑"/>
          <w:sz w:val="21"/>
        </w:rPr>
        <w:t>一旦保存了webhook，它便可在整个平台上使用。</w:t>
      </w:r>
    </w:p>
    <w:p>
      <w:pPr>
        <w:spacing w:line="360" w:lineRule="auto" w:after="120"/>
      </w:pPr>
      <w:r>
        <w:rPr>
          <w:rFonts w:ascii="微软雅黑" w:hAnsi="微软雅黑"/>
          <w:color w:val="0066CC"/>
          <w:sz w:val="21"/>
          <w:u w:val="single"/>
        </w:rPr>
        <w:t>了解更多关于webhook配置选项和用法的信息。</w:t>
      </w:r>
      <w:r>
        <w:rPr>
          <w:rFonts w:ascii="微软雅黑" w:hAnsi="微软雅黑"/>
          <w:sz w:val="21"/>
        </w:rPr>
        <w:t>。</w:t>
      </w:r>
    </w:p>
    <w:p>
      <w:pPr>
        <w:pStyle w:val="Heading3"/>
      </w:pPr>
      <w:r>
        <w:rPr>
          <w:rFonts w:ascii="微软雅黑" w:hAnsi="微软雅黑"/>
        </w:rPr>
        <w:t>下一步</w:t>
      </w:r>
    </w:p>
    <w:p>
      <w:pPr>
        <w:spacing w:line="360" w:lineRule="auto" w:after="120"/>
      </w:pPr>
      <w:r>
        <w:rPr>
          <w:rFonts w:ascii="微软雅黑" w:hAnsi="微软雅黑"/>
          <w:sz w:val="21"/>
        </w:rPr>
        <w:t>要开始在函数中使用此源，请继续查看</w:t>
      </w:r>
      <w:r>
        <w:rPr>
          <w:rFonts w:ascii="微软雅黑" w:hAnsi="微软雅黑"/>
          <w:color w:val="0066CC"/>
          <w:sz w:val="21"/>
          <w:u w:val="single"/>
        </w:rPr>
        <w:t>函数中的外部源指南</w:t>
      </w:r>
      <w:r>
        <w:rPr>
          <w:rFonts w:ascii="微软雅黑" w:hAnsi="微软雅黑"/>
          <w:sz w:val="21"/>
        </w:rPr>
        <w:t>。</w:t>
      </w:r>
    </w:p>
    <w:p>
      <w:r>
        <w:br w:type="page"/>
      </w:r>
    </w:p>
    <w:p>
      <w:pPr>
        <w:pStyle w:val="Heading1"/>
      </w:pPr>
      <w:r>
        <w:rPr>
          <w:rFonts w:ascii="微软雅黑" w:hAnsi="微软雅黑"/>
        </w:rPr>
        <w:t>基于源的外部变换</w:t>
      </w:r>
    </w:p>
    <w:p>
      <w:pPr>
        <w:spacing w:line="360" w:lineRule="auto" w:after="120"/>
      </w:pPr>
      <w:r>
        <w:rPr>
          <w:rFonts w:ascii="微软雅黑" w:hAnsi="微软雅黑"/>
          <w:sz w:val="21"/>
        </w:rPr>
        <w:t># 基于源的外部变换</w:t>
      </w:r>
    </w:p>
    <w:p>
      <w:pPr>
        <w:spacing w:line="360" w:lineRule="auto" w:after="120"/>
      </w:pPr>
      <w:r>
        <w:rPr>
          <w:rFonts w:ascii="微软雅黑" w:hAnsi="微软雅黑"/>
          <w:sz w:val="21"/>
        </w:rPr>
        <w:t>基于源的外部变换是一种从代码库连接到外部系统的新方法，通过导入包含外部系统设置的</w:t>
      </w:r>
      <w:r>
        <w:rPr>
          <w:rFonts w:ascii="微软雅黑" w:hAnsi="微软雅黑"/>
          <w:color w:val="0066CC"/>
          <w:sz w:val="21"/>
          <w:u w:val="single"/>
        </w:rPr>
        <w:t>数据连接源</w:t>
      </w:r>
      <w:r>
        <w:rPr>
          <w:rFonts w:ascii="微软雅黑" w:hAnsi="微软雅黑"/>
          <w:sz w:val="21"/>
        </w:rPr>
        <w:t>在单一资源中实现。</w:t>
      </w:r>
    </w:p>
    <w:p>
      <w:pPr>
        <w:spacing w:line="360" w:lineRule="auto" w:after="120"/>
      </w:pPr>
      <w:r>
        <w:rPr>
          <w:rFonts w:ascii="微软雅黑" w:hAnsi="微软雅黑"/>
          <w:sz w:val="21"/>
        </w:rPr>
        <w:t>基于源的外部变换的关键优势包括支持以下功能：</w:t>
      </w:r>
    </w:p>
    <w:p>
      <w:pPr>
        <w:pStyle w:val="ListBullet"/>
        <w:spacing w:line="360" w:lineRule="auto" w:after="120"/>
      </w:pPr>
      <w:r>
        <w:rPr>
          <w:rFonts w:ascii="微软雅黑" w:hAnsi="微软雅黑"/>
          <w:sz w:val="21"/>
        </w:rPr>
        <w:t>连接无法从互联网访问的系统。</w:t>
      </w:r>
    </w:p>
    <w:p>
      <w:pPr>
        <w:pStyle w:val="ListBullet"/>
        <w:spacing w:line="360" w:lineRule="auto" w:after="120"/>
      </w:pPr>
      <w:r>
        <w:rPr>
          <w:rFonts w:ascii="微软雅黑" w:hAnsi="微软雅黑"/>
          <w:sz w:val="21"/>
        </w:rPr>
        <w:t>旋转/更新凭据而无需代码更改。</w:t>
      </w:r>
    </w:p>
    <w:p>
      <w:pPr>
        <w:pStyle w:val="ListBullet"/>
        <w:spacing w:line="360" w:lineRule="auto" w:after="120"/>
      </w:pPr>
      <w:r>
        <w:rPr>
          <w:rFonts w:ascii="微软雅黑" w:hAnsi="微软雅黑"/>
          <w:sz w:val="21"/>
        </w:rPr>
        <w:t>在多个库之间共享连接配置。</w:t>
      </w:r>
    </w:p>
    <w:p>
      <w:pPr>
        <w:pStyle w:val="ListBullet"/>
        <w:spacing w:line="360" w:lineRule="auto" w:after="120"/>
      </w:pPr>
      <w:r>
        <w:rPr>
          <w:rFonts w:ascii="微软雅黑" w:hAnsi="微软雅黑"/>
          <w:sz w:val="21"/>
        </w:rPr>
        <w:t>为选定的源类型提供开箱即用的Python客户端。</w:t>
      </w:r>
    </w:p>
    <w:p>
      <w:pPr>
        <w:pStyle w:val="ListBullet"/>
        <w:spacing w:line="360" w:lineRule="auto" w:after="120"/>
      </w:pPr>
      <w:r>
        <w:rPr>
          <w:rFonts w:ascii="微软雅黑" w:hAnsi="微软雅黑"/>
          <w:sz w:val="21"/>
        </w:rPr>
        <w:t>改进和简化的治理工作流程，用于启用和管理外部变换库。</w:t>
      </w:r>
    </w:p>
    <w:p>
      <w:pPr>
        <w:pStyle w:val="ListBullet"/>
        <w:spacing w:line="360" w:lineRule="auto" w:after="120"/>
      </w:pPr>
      <w:r>
        <w:rPr>
          <w:rFonts w:ascii="微软雅黑" w:hAnsi="微软雅黑"/>
          <w:sz w:val="21"/>
        </w:rPr>
        <w:t>在</w:t>
      </w:r>
      <w:r>
        <w:rPr>
          <w:rFonts w:ascii="微软雅黑" w:hAnsi="微软雅黑"/>
          <w:color w:val="0066CC"/>
          <w:sz w:val="21"/>
          <w:u w:val="single"/>
        </w:rPr>
        <w:t>数据沿袭</w:t>
      </w:r>
      <w:r>
        <w:rPr>
          <w:rFonts w:ascii="微软雅黑" w:hAnsi="微软雅黑"/>
          <w:sz w:val="21"/>
        </w:rPr>
        <w:t>中可视化连接到外部源的外部变换。</w:t>
      </w:r>
    </w:p>
    <w:p>
      <w:pPr>
        <w:spacing w:line="360" w:lineRule="auto" w:after="120"/>
      </w:pPr>
      <w:r>
        <w:rPr>
          <w:rFonts w:ascii="微软雅黑" w:hAnsi="微软雅黑"/>
          <w:sz w:val="21"/>
        </w:rPr>
        <w:t>外部变换允许从</w:t>
      </w:r>
      <w:r>
        <w:rPr>
          <w:rFonts w:ascii="微软雅黑" w:hAnsi="微软雅黑"/>
          <w:color w:val="0066CC"/>
          <w:sz w:val="21"/>
          <w:u w:val="single"/>
        </w:rPr>
        <w:t>Python变换</w:t>
      </w:r>
      <w:r>
        <w:rPr>
          <w:rFonts w:ascii="微软雅黑" w:hAnsi="微软雅黑"/>
          <w:sz w:val="21"/>
        </w:rPr>
        <w:t>库连接到外部系统。</w:t>
      </w:r>
    </w:p>
    <w:p>
      <w:pPr>
        <w:spacing w:line="360" w:lineRule="auto" w:after="120"/>
      </w:pPr>
      <w:r>
        <w:rPr>
          <w:rFonts w:ascii="微软雅黑" w:hAnsi="微软雅黑"/>
          <w:sz w:val="21"/>
        </w:rPr>
        <w:t>外部变换主要用于执行</w:t>
      </w:r>
      <w:r>
        <w:rPr>
          <w:rFonts w:ascii="微软雅黑" w:hAnsi="微软雅黑"/>
          <w:color w:val="0066CC"/>
          <w:sz w:val="21"/>
          <w:u w:val="single"/>
        </w:rPr>
        <w:t>批量同步</w:t>
      </w:r>
      <w:r>
        <w:rPr>
          <w:rFonts w:ascii="微软雅黑" w:hAnsi="微软雅黑"/>
          <w:sz w:val="21"/>
        </w:rPr>
        <w:t>、</w:t>
      </w:r>
      <w:r>
        <w:rPr>
          <w:rFonts w:ascii="微软雅黑" w:hAnsi="微软雅黑"/>
          <w:color w:val="0066CC"/>
          <w:sz w:val="21"/>
          <w:u w:val="single"/>
        </w:rPr>
        <w:t>导出</w:t>
      </w:r>
      <w:r>
        <w:rPr>
          <w:rFonts w:ascii="微软雅黑" w:hAnsi="微软雅黑"/>
          <w:sz w:val="21"/>
        </w:rPr>
        <w:t>和</w:t>
      </w:r>
      <w:r>
        <w:rPr>
          <w:rFonts w:ascii="微软雅黑" w:hAnsi="微软雅黑"/>
          <w:color w:val="0066CC"/>
          <w:sz w:val="21"/>
          <w:u w:val="single"/>
        </w:rPr>
        <w:t>媒体同步</w:t>
      </w:r>
      <w:r>
        <w:rPr>
          <w:rFonts w:ascii="微软雅黑" w:hAnsi="微软雅黑"/>
          <w:sz w:val="21"/>
        </w:rPr>
        <w:t>工作流程，当以下条件之一为true时：</w:t>
      </w:r>
    </w:p>
    <w:p>
      <w:pPr>
        <w:pStyle w:val="ListBullet"/>
        <w:spacing w:line="360" w:lineRule="auto" w:after="120"/>
      </w:pPr>
      <w:r>
        <w:rPr>
          <w:rFonts w:ascii="微软雅黑" w:hAnsi="微软雅黑"/>
          <w:sz w:val="21"/>
        </w:rPr>
        <w:t>不存在现有的数据连接源类型。</w:t>
      </w:r>
    </w:p>
    <w:p>
      <w:pPr>
        <w:pStyle w:val="ListBullet"/>
        <w:spacing w:line="360" w:lineRule="auto" w:after="120"/>
      </w:pPr>
      <w:r>
        <w:rPr>
          <w:rFonts w:ascii="微软雅黑" w:hAnsi="微软雅黑"/>
          <w:sz w:val="21"/>
        </w:rPr>
        <w:t>目标源类型所需的功能不可用。</w:t>
      </w:r>
    </w:p>
    <w:p>
      <w:pPr>
        <w:pStyle w:val="ListBullet"/>
        <w:spacing w:line="360" w:lineRule="auto" w:after="120"/>
      </w:pPr>
      <w:r>
        <w:rPr>
          <w:rFonts w:ascii="微软雅黑" w:hAnsi="微软雅黑"/>
          <w:sz w:val="21"/>
        </w:rPr>
        <w:t>数据连接用户界面提供的功能不具备所需特性。</w:t>
      </w:r>
    </w:p>
    <w:p>
      <w:pPr>
        <w:spacing w:line="360" w:lineRule="auto" w:after="120"/>
      </w:pPr>
      <w:r>
        <w:rPr>
          <w:rFonts w:ascii="微软雅黑" w:hAnsi="微软雅黑"/>
          <w:sz w:val="21"/>
        </w:rPr>
        <w:t>这些情况的解决方案可能包括以下内容：</w:t>
      </w:r>
    </w:p>
    <w:p>
      <w:pPr>
        <w:pStyle w:val="ListBullet"/>
        <w:spacing w:line="360" w:lineRule="auto" w:after="120"/>
      </w:pPr>
      <w:r>
        <w:rPr>
          <w:rFonts w:ascii="微软雅黑" w:hAnsi="微软雅黑"/>
          <w:sz w:val="21"/>
        </w:rPr>
        <w:t>连接到REST API，无论是通过互联网还是在私有网络内。</w:t>
      </w:r>
    </w:p>
    <w:p>
      <w:pPr>
        <w:pStyle w:val="ListBullet"/>
        <w:spacing w:line="360" w:lineRule="auto" w:after="120"/>
      </w:pPr>
      <w:r>
        <w:rPr>
          <w:rFonts w:ascii="微软雅黑" w:hAnsi="微软雅黑"/>
          <w:sz w:val="21"/>
        </w:rPr>
        <w:t>连接到数据库以安排数据连接用户界面当前无法实现的自定义查询逻辑。</w:t>
      </w:r>
    </w:p>
    <w:p>
      <w:pPr>
        <w:pStyle w:val="ListBullet"/>
        <w:spacing w:line="360" w:lineRule="auto" w:after="120"/>
      </w:pPr>
      <w:r>
        <w:rPr>
          <w:rFonts w:ascii="微软雅黑" w:hAnsi="微软雅黑"/>
          <w:sz w:val="21"/>
        </w:rPr>
        <w:t>在同步或导出期间根据需要变换数据。这可能包括在写入Foundry之前将文件批量处理在一起，在传输过程中处理数据的自定义加密/解密等。</w:t>
      </w:r>
    </w:p>
    <w:p>
      <w:pPr>
        <w:spacing w:line="360" w:lineRule="auto" w:after="120"/>
      </w:pPr>
      <w:r>
        <w:rPr>
          <w:rFonts w:ascii="微软雅黑" w:hAnsi="微软雅黑"/>
          <w:sz w:val="21"/>
        </w:rPr>
        <w:t>任何使用</w:t>
      </w:r>
      <w:r>
        <w:rPr>
          <w:rFonts w:ascii="微软雅黑" w:hAnsi="微软雅黑"/>
          <w:color w:val="0066CC"/>
          <w:sz w:val="21"/>
          <w:u w:val="single"/>
        </w:rPr>
        <w:t>虚拟表</w:t>
      </w:r>
      <w:r>
        <w:rPr>
          <w:rFonts w:ascii="微软雅黑" w:hAnsi="微软雅黑"/>
          <w:sz w:val="21"/>
        </w:rPr>
        <w:t>的变换也被视为外部变换，因为变换任务必须能够访问包含虚拟数据的外部系统。要在Python变换中使用</w:t>
      </w:r>
      <w:r>
        <w:rPr>
          <w:rFonts w:ascii="微软雅黑" w:hAnsi="微软雅黑"/>
          <w:color w:val="0066CC"/>
          <w:sz w:val="21"/>
          <w:u w:val="single"/>
        </w:rPr>
        <w:t>虚拟表</w:t>
      </w:r>
      <w:r>
        <w:rPr>
          <w:rFonts w:ascii="微软雅黑" w:hAnsi="微软雅黑"/>
          <w:sz w:val="21"/>
        </w:rPr>
        <w:t>，请按照下面的说明了解如何设置源。</w:t>
      </w:r>
    </w:p>
    <w:p>
      <w:pPr>
        <w:pStyle w:val="Heading2"/>
      </w:pPr>
      <w:r>
        <w:rPr>
          <w:rFonts w:ascii="微软雅黑" w:hAnsi="微软雅黑"/>
        </w:rPr>
        <w:t>设置指南</w:t>
      </w:r>
    </w:p>
    <w:p>
      <w:pPr>
        <w:spacing w:line="360" w:lineRule="auto" w:after="120"/>
      </w:pPr>
      <w:r>
        <w:rPr>
          <w:rFonts w:ascii="微软雅黑" w:hAnsi="微软雅黑"/>
          <w:sz w:val="21"/>
        </w:rPr>
        <w:t>在本设置指南中，我们将逐步创建一个连接到</w:t>
      </w:r>
      <w:r>
        <w:rPr>
          <w:rFonts w:ascii="微软雅黑" w:hAnsi="微软雅黑"/>
          <w:color w:val="0066CC"/>
          <w:sz w:val="21"/>
          <w:u w:val="single"/>
        </w:rPr>
        <w:t>免费的Pokemon数据公共API↗</w:t>
      </w:r>
      <w:r>
        <w:rPr>
          <w:rFonts w:ascii="微软雅黑" w:hAnsi="微软雅黑"/>
          <w:sz w:val="21"/>
        </w:rPr>
        <w:t>的Python变换库。然后示例将使用此API解释外部变换的各种功能以及如何与API一起使用。</w:t>
      </w:r>
    </w:p>
    <w:p>
      <w:pPr>
        <w:spacing w:line="360" w:lineRule="auto" w:after="120"/>
      </w:pPr>
      <w:r>
        <w:rPr>
          <w:rFonts w:ascii="微软雅黑" w:hAnsi="微软雅黑"/>
          <w:sz w:val="21"/>
        </w:rPr>
        <w:t>本设置指南中使用的Pokemon API与Palantir无关，并且可能随时更改。本教程不是对该API进行生产应用案例的认可、推荐或建议。</w:t>
      </w:r>
    </w:p>
    <w:p>
      <w:pPr>
        <w:pStyle w:val="Heading3"/>
      </w:pPr>
      <w:r>
        <w:rPr>
          <w:rFonts w:ascii="微软雅黑" w:hAnsi="微软雅黑"/>
        </w:rPr>
        <w:t>前提条件：创建一个Python变换库</w:t>
      </w:r>
    </w:p>
    <w:p>
      <w:pPr>
        <w:spacing w:line="360" w:lineRule="auto" w:after="120"/>
      </w:pPr>
      <w:r>
        <w:rPr>
          <w:rFonts w:ascii="微软雅黑" w:hAnsi="微软雅黑"/>
          <w:sz w:val="21"/>
        </w:rPr>
        <w:t>在遵循本指南之前，请确保首先创建一个Python变换库，并按照</w:t>
      </w:r>
      <w:r>
        <w:rPr>
          <w:rFonts w:ascii="微软雅黑" w:hAnsi="微软雅黑"/>
          <w:color w:val="0066CC"/>
          <w:sz w:val="21"/>
          <w:u w:val="single"/>
        </w:rPr>
        <w:t>我们的教程</w:t>
      </w:r>
      <w:r>
        <w:rPr>
          <w:rFonts w:ascii="微软雅黑" w:hAnsi="微软雅黑"/>
          <w:sz w:val="21"/>
        </w:rPr>
        <w:t>了解如何编写Python变换。Python变换的所有功能都与外部变换兼容。</w:t>
      </w:r>
    </w:p>
    <w:p>
      <w:pPr>
        <w:pStyle w:val="Heading3"/>
      </w:pPr>
      <w:r>
        <w:rPr>
          <w:rFonts w:ascii="微软雅黑" w:hAnsi="微软雅黑"/>
        </w:rPr>
        <w:t>前提条件：创建一个数据连接源</w:t>
      </w:r>
    </w:p>
    <w:p>
      <w:pPr>
        <w:spacing w:line="360" w:lineRule="auto" w:after="120"/>
      </w:pPr>
      <w:r>
        <w:rPr>
          <w:rFonts w:ascii="微软雅黑" w:hAnsi="微软雅黑"/>
          <w:sz w:val="21"/>
        </w:rPr>
        <w:t>在您可以从Python库连接到外部系统之前，您必须创建一个可以导入代码的数据连接源。在本教程中，我们将创建一个连接到上述PokeAPI的REST API源。</w:t>
      </w:r>
    </w:p>
    <w:p>
      <w:pPr>
        <w:spacing w:line="360" w:lineRule="auto" w:after="120"/>
      </w:pPr>
      <w:r>
        <w:rPr>
          <w:rFonts w:ascii="微软雅黑" w:hAnsi="微软雅黑"/>
          <w:sz w:val="21"/>
        </w:rPr>
        <w:t>#### 选项1：在外部系统侧边栏中创建源</w:t>
      </w:r>
    </w:p>
    <w:p>
      <w:pPr>
        <w:spacing w:line="360" w:lineRule="auto" w:after="120"/>
      </w:pPr>
      <w:r>
        <w:rPr>
          <w:rFonts w:ascii="微软雅黑" w:hAnsi="微软雅黑"/>
          <w:sz w:val="21"/>
        </w:rPr>
        <w:t>在外部变换中使用源的最快方法是从Python变换代码库中创建源。初始化库后，完成以下步骤以设置通用源：</w:t>
      </w:r>
    </w:p>
    <w:p>
      <w:pPr>
        <w:pStyle w:val="ListNumber"/>
        <w:spacing w:line="360" w:lineRule="auto" w:after="120"/>
      </w:pPr>
      <w:r>
        <w:rPr>
          <w:rFonts w:ascii="微软雅黑" w:hAnsi="微软雅黑"/>
          <w:sz w:val="21"/>
        </w:rPr>
        <w:t>从左侧面板中打开</w:t>
      </w:r>
      <w:r>
        <w:rPr>
          <w:rFonts w:ascii="微软雅黑" w:hAnsi="微软雅黑"/>
          <w:b/>
          <w:sz w:val="21"/>
        </w:rPr>
        <w:t>外部系统</w:t>
      </w:r>
      <w:r>
        <w:rPr>
          <w:rFonts w:ascii="微软雅黑" w:hAnsi="微软雅黑"/>
          <w:sz w:val="21"/>
        </w:rPr>
        <w:t>选项卡。</w:t>
      </w:r>
    </w:p>
    <w:p>
      <w:pPr>
        <w:pStyle w:val="ListNumber"/>
        <w:spacing w:line="360" w:lineRule="auto" w:after="120"/>
      </w:pPr>
      <w:r>
        <w:rPr>
          <w:rFonts w:ascii="微软雅黑" w:hAnsi="微软雅黑"/>
          <w:sz w:val="21"/>
        </w:rPr>
        <w:t>选择</w:t>
      </w:r>
      <w:r>
        <w:rPr>
          <w:rFonts w:ascii="微软雅黑" w:hAnsi="微软雅黑"/>
          <w:b/>
          <w:sz w:val="21"/>
        </w:rPr>
        <w:t>添加 &gt; 创建新的</w:t>
      </w:r>
      <w:r>
        <w:rPr>
          <w:rFonts w:ascii="微软雅黑" w:hAnsi="微软雅黑"/>
          <w:sz w:val="21"/>
        </w:rPr>
        <w:t>。</w:t>
      </w:r>
    </w:p>
    <w:p>
      <w:pPr>
        <w:spacing w:after="40"/>
        <w:jc w:val="center"/>
      </w:pPr>
      <w:r>
        <w:rPr>
          <w:i/>
          <w:color w:val="646464"/>
          <w:sz w:val="18"/>
        </w:rPr>
        <w:t>图：选择“创建新的”以从代码库中创建新的通用连接器。</w:t>
      </w:r>
    </w:p>
    <w:p>
      <w:pPr>
        <w:spacing w:before="120" w:after="240"/>
        <w:jc w:val="center"/>
      </w:pPr>
      <w:r>
        <w:drawing>
          <wp:inline xmlns:a="http://schemas.openxmlformats.org/drawingml/2006/main" xmlns:pic="http://schemas.openxmlformats.org/drawingml/2006/picture">
            <wp:extent cx="5029200" cy="2061972"/>
            <wp:docPr id="28" name="Picture 28"/>
            <wp:cNvGraphicFramePr>
              <a:graphicFrameLocks noChangeAspect="1"/>
            </wp:cNvGraphicFramePr>
            <a:graphic>
              <a:graphicData uri="http://schemas.openxmlformats.org/drawingml/2006/picture">
                <pic:pic>
                  <pic:nvPicPr>
                    <pic:cNvPr id="0" name="external-transforms-create-new-generic-connector.png"/>
                    <pic:cNvPicPr/>
                  </pic:nvPicPr>
                  <pic:blipFill>
                    <a:blip r:embed="rId36"/>
                    <a:stretch>
                      <a:fillRect/>
                    </a:stretch>
                  </pic:blipFill>
                  <pic:spPr>
                    <a:xfrm>
                      <a:off x="0" y="0"/>
                      <a:ext cx="5029200" cy="2061972"/>
                    </a:xfrm>
                    <a:prstGeom prst="rect"/>
                  </pic:spPr>
                </pic:pic>
              </a:graphicData>
            </a:graphic>
          </wp:inline>
        </w:drawing>
      </w:r>
    </w:p>
    <w:p>
      <w:pPr>
        <w:pStyle w:val="ListNumber"/>
        <w:spacing w:line="360" w:lineRule="auto" w:after="120"/>
      </w:pPr>
      <w:r>
        <w:rPr>
          <w:rFonts w:ascii="微软雅黑" w:hAnsi="微软雅黑"/>
          <w:sz w:val="21"/>
        </w:rPr>
        <w:t>为您的源选择一个名称和一个项目来存储它。创建后，新创建的源将在左侧面板中显示。任何出口策略、密钥和可导出权限标记都可以直接从此面板中配置。</w:t>
      </w:r>
    </w:p>
    <w:p>
      <w:pPr>
        <w:spacing w:after="40"/>
        <w:jc w:val="center"/>
      </w:pPr>
      <w:r>
        <w:rPr>
          <w:i/>
          <w:color w:val="646464"/>
          <w:sz w:val="18"/>
        </w:rPr>
        <w:t>图：从代码库中创建的新通用连接器</w:t>
      </w:r>
    </w:p>
    <w:p>
      <w:pPr>
        <w:spacing w:before="120" w:after="240"/>
        <w:jc w:val="center"/>
      </w:pPr>
      <w:r>
        <w:drawing>
          <wp:inline xmlns:a="http://schemas.openxmlformats.org/drawingml/2006/main" xmlns:pic="http://schemas.openxmlformats.org/drawingml/2006/picture">
            <wp:extent cx="3105509" cy="4114800"/>
            <wp:docPr id="29" name="Picture 29"/>
            <wp:cNvGraphicFramePr>
              <a:graphicFrameLocks noChangeAspect="1"/>
            </wp:cNvGraphicFramePr>
            <a:graphic>
              <a:graphicData uri="http://schemas.openxmlformats.org/drawingml/2006/picture">
                <pic:pic>
                  <pic:nvPicPr>
                    <pic:cNvPr id="0" name="external-transforms-new-generic-connector-created.png"/>
                    <pic:cNvPicPr/>
                  </pic:nvPicPr>
                  <pic:blipFill>
                    <a:blip r:embed="rId37"/>
                    <a:stretch>
                      <a:fillRect/>
                    </a:stretch>
                  </pic:blipFill>
                  <pic:spPr>
                    <a:xfrm>
                      <a:off x="0" y="0"/>
                      <a:ext cx="3105509" cy="4114800"/>
                    </a:xfrm>
                    <a:prstGeom prst="rect"/>
                  </pic:spPr>
                </pic:pic>
              </a:graphicData>
            </a:graphic>
          </wp:inline>
        </w:drawing>
      </w:r>
    </w:p>
    <w:p>
      <w:pPr>
        <w:pStyle w:val="ListNumber"/>
        <w:spacing w:line="360" w:lineRule="auto" w:after="120"/>
      </w:pPr>
      <w:r>
        <w:rPr>
          <w:rFonts w:ascii="微软雅黑" w:hAnsi="微软雅黑"/>
          <w:sz w:val="21"/>
        </w:rPr>
        <w:t>对于本教程，您应该为PokeAPI添加一个</w:t>
      </w:r>
      <w:r>
        <w:rPr>
          <w:rFonts w:ascii="微软雅黑" w:hAnsi="微软雅黑"/>
          <w:color w:val="0066CC"/>
          <w:sz w:val="21"/>
          <w:u w:val="single"/>
        </w:rPr>
        <w:t>出口策略</w:t>
      </w:r>
      <w:r>
        <w:rPr>
          <w:rFonts w:ascii="微软雅黑" w:hAnsi="微软雅黑"/>
          <w:sz w:val="21"/>
        </w:rPr>
        <w:t>：</w:t>
      </w:r>
      <w:r>
        <w:rPr>
          <w:rFonts w:ascii="Consolas" w:hAnsi="Consolas"/>
          <w:color w:val="B43C3C"/>
          <w:sz w:val="18"/>
        </w:rPr>
        <w:t>pokeapi.co</w:t>
      </w:r>
      <w:r>
        <w:rPr>
          <w:rFonts w:ascii="微软雅黑" w:hAnsi="微软雅黑"/>
          <w:sz w:val="21"/>
        </w:rPr>
        <w:t>。您无需任何密钥，因为此API不需要身份验证，并且可以暂时跳过出口控制。然而，它们将是</w:t>
      </w:r>
      <w:r>
        <w:rPr>
          <w:rFonts w:ascii="微软雅黑" w:hAnsi="微软雅黑"/>
          <w:color w:val="0066CC"/>
          <w:sz w:val="21"/>
          <w:u w:val="single"/>
        </w:rPr>
        <w:t>使用Foundry数据输入与此源</w:t>
      </w:r>
      <w:r>
        <w:rPr>
          <w:rFonts w:ascii="微软雅黑" w:hAnsi="微软雅黑"/>
          <w:sz w:val="21"/>
        </w:rPr>
        <w:t>所必需的。</w:t>
      </w:r>
    </w:p>
    <w:p>
      <w:pPr>
        <w:pStyle w:val="ListNumber"/>
        <w:spacing w:line="360" w:lineRule="auto" w:after="120"/>
      </w:pPr>
      <w:r>
        <w:rPr>
          <w:rFonts w:ascii="微软雅黑" w:hAnsi="微软雅黑"/>
          <w:sz w:val="21"/>
        </w:rPr>
        <w:t>由于此连接是到REST API的，您将被自动提示将您的通用连接器转换为REST API源，以便您可以使用内置的Python请求客户端。</w:t>
      </w:r>
    </w:p>
    <w:p>
      <w:pPr>
        <w:spacing w:line="360" w:lineRule="auto" w:after="120"/>
      </w:pPr>
      <w:r>
        <w:rPr>
          <w:rFonts w:ascii="微软雅黑" w:hAnsi="微软雅黑"/>
          <w:sz w:val="21"/>
        </w:rPr>
        <w:t>#### 选项2：在数据连接中创建源</w:t>
      </w:r>
    </w:p>
    <w:p>
      <w:pPr>
        <w:spacing w:line="360" w:lineRule="auto" w:after="120"/>
      </w:pPr>
      <w:r>
        <w:rPr>
          <w:rFonts w:ascii="微软雅黑" w:hAnsi="微软雅黑"/>
          <w:sz w:val="21"/>
        </w:rPr>
        <w:t>您还可以从数据连接应用程序中创建源或使用您已配置的现有源。要使用此选项，请按照以下步骤操作：</w:t>
      </w:r>
    </w:p>
    <w:p>
      <w:pPr>
        <w:pStyle w:val="ListNumber"/>
        <w:spacing w:line="360" w:lineRule="auto" w:after="120"/>
      </w:pPr>
      <w:r>
        <w:rPr>
          <w:rFonts w:ascii="微软雅黑" w:hAnsi="微软雅黑"/>
          <w:sz w:val="21"/>
        </w:rPr>
        <w:t>在Foundry中导航到数据连接应用程序并选择</w:t>
      </w:r>
      <w:r>
        <w:rPr>
          <w:rFonts w:ascii="微软雅黑" w:hAnsi="微软雅黑"/>
          <w:b/>
          <w:sz w:val="21"/>
        </w:rPr>
        <w:t>新源</w:t>
      </w:r>
      <w:r>
        <w:rPr>
          <w:rFonts w:ascii="微软雅黑" w:hAnsi="微软雅黑"/>
          <w:sz w:val="21"/>
        </w:rPr>
        <w:t>。从选项列表中选择</w:t>
      </w:r>
      <w:r>
        <w:rPr>
          <w:rFonts w:ascii="微软雅黑" w:hAnsi="微软雅黑"/>
          <w:b/>
          <w:sz w:val="21"/>
        </w:rPr>
        <w:t>REST API</w:t>
      </w:r>
      <w:r>
        <w:rPr>
          <w:rFonts w:ascii="微软雅黑" w:hAnsi="微软雅黑"/>
          <w:sz w:val="21"/>
        </w:rPr>
        <w:t>。</w:t>
      </w:r>
    </w:p>
    <w:p>
      <w:pPr>
        <w:spacing w:after="40"/>
        <w:jc w:val="center"/>
      </w:pPr>
      <w:r>
        <w:rPr>
          <w:i/>
          <w:color w:val="646464"/>
          <w:sz w:val="18"/>
        </w:rPr>
        <w:t>图：数据连接新源页面，红框标出REST API卡片</w:t>
      </w:r>
    </w:p>
    <w:p>
      <w:pPr>
        <w:spacing w:before="120" w:after="240"/>
        <w:jc w:val="center"/>
      </w:pPr>
      <w:r>
        <w:drawing>
          <wp:inline xmlns:a="http://schemas.openxmlformats.org/drawingml/2006/main" xmlns:pic="http://schemas.openxmlformats.org/drawingml/2006/picture">
            <wp:extent cx="5029200" cy="2855760"/>
            <wp:docPr id="30" name="Picture 30"/>
            <wp:cNvGraphicFramePr>
              <a:graphicFrameLocks noChangeAspect="1"/>
            </wp:cNvGraphicFramePr>
            <a:graphic>
              <a:graphicData uri="http://schemas.openxmlformats.org/drawingml/2006/picture">
                <pic:pic>
                  <pic:nvPicPr>
                    <pic:cNvPr id="0" name="external-functions-choose-rest-api-source.png"/>
                    <pic:cNvPicPr/>
                  </pic:nvPicPr>
                  <pic:blipFill>
                    <a:blip r:embed="rId28"/>
                    <a:stretch>
                      <a:fillRect/>
                    </a:stretch>
                  </pic:blipFill>
                  <pic:spPr>
                    <a:xfrm>
                      <a:off x="0" y="0"/>
                      <a:ext cx="5029200" cy="2855760"/>
                    </a:xfrm>
                    <a:prstGeom prst="rect"/>
                  </pic:spPr>
                </pic:pic>
              </a:graphicData>
            </a:graphic>
          </wp:inline>
        </w:drawing>
      </w:r>
    </w:p>
    <w:p>
      <w:pPr>
        <w:pStyle w:val="ListNumber"/>
        <w:spacing w:line="360" w:lineRule="auto" w:after="120"/>
      </w:pPr>
      <w:r>
        <w:rPr>
          <w:rFonts w:ascii="微软雅黑" w:hAnsi="微软雅黑"/>
          <w:sz w:val="21"/>
        </w:rPr>
        <w:t>查看</w:t>
      </w:r>
      <w:r>
        <w:rPr>
          <w:rFonts w:ascii="微软雅黑" w:hAnsi="微软雅黑"/>
          <w:b/>
          <w:sz w:val="21"/>
        </w:rPr>
        <w:t>概述</w:t>
      </w:r>
      <w:r>
        <w:rPr>
          <w:rFonts w:ascii="微软雅黑" w:hAnsi="微软雅黑"/>
          <w:sz w:val="21"/>
        </w:rPr>
        <w:t>页面，然后在右下角选择</w:t>
      </w:r>
      <w:r>
        <w:rPr>
          <w:rFonts w:ascii="微软雅黑" w:hAnsi="微软雅黑"/>
          <w:b/>
          <w:sz w:val="21"/>
        </w:rPr>
        <w:t>继续</w:t>
      </w:r>
      <w:r>
        <w:rPr>
          <w:rFonts w:ascii="微软雅黑" w:hAnsi="微软雅黑"/>
          <w:sz w:val="21"/>
        </w:rPr>
        <w:t>。您将被提示选择连接运行时：直接连接、通过代理或通过代理代理（测试版）。由于代理连接不支持外部变换，请选择使用直接连接到互联网以连接到PokeAPI。</w:t>
      </w:r>
    </w:p>
    <w:p>
      <w:pPr>
        <w:pStyle w:val="ListNumber"/>
        <w:spacing w:line="360" w:lineRule="auto" w:after="120"/>
      </w:pPr>
      <w:r>
        <w:rPr>
          <w:rFonts w:ascii="微软雅黑" w:hAnsi="微软雅黑"/>
          <w:sz w:val="21"/>
        </w:rPr>
        <w:t>为您的源选择一个名称，并选择一个项目以保存它。</w:t>
      </w:r>
    </w:p>
    <w:p>
      <w:pPr>
        <w:pStyle w:val="ListNumber"/>
        <w:spacing w:line="360" w:lineRule="auto" w:after="120"/>
      </w:pPr>
      <w:r>
        <w:rPr>
          <w:rFonts w:ascii="微软雅黑" w:hAnsi="微软雅黑"/>
          <w:sz w:val="21"/>
        </w:rPr>
        <w:t>在</w:t>
      </w:r>
      <w:r>
        <w:rPr>
          <w:rFonts w:ascii="微软雅黑" w:hAnsi="微软雅黑"/>
          <w:b/>
          <w:sz w:val="21"/>
        </w:rPr>
        <w:t>域</w:t>
      </w:r>
      <w:r>
        <w:rPr>
          <w:rFonts w:ascii="微软雅黑" w:hAnsi="微软雅黑"/>
          <w:sz w:val="21"/>
        </w:rPr>
        <w:t>部分填写API源的连接信息。PokeAPI示例的配置如下所示：</w:t>
      </w:r>
    </w:p>
    <w:p>
      <w:pPr>
        <w:spacing w:after="40"/>
        <w:jc w:val="center"/>
      </w:pPr>
      <w:r>
        <w:rPr>
          <w:i/>
          <w:color w:val="646464"/>
          <w:sz w:val="18"/>
        </w:rPr>
        <w:t>图：REST API源创建页面，显示连接到pokeapi.co的配置，无需身份验证</w:t>
      </w:r>
    </w:p>
    <w:p>
      <w:pPr>
        <w:jc w:val="center"/>
      </w:pPr>
      <w:r>
        <w:rPr>
          <w:i/>
          <w:color w:val="FF6464"/>
          <w:sz w:val="18"/>
        </w:rPr>
        <w:t>[图片未找到：/resources/foundry/data-integration/external-transforms-configure-pokeapi-source.png]</w:t>
      </w:r>
    </w:p>
    <w:p>
      <w:pPr>
        <w:pStyle w:val="ListNumber"/>
        <w:spacing w:line="360" w:lineRule="auto" w:after="120"/>
      </w:pPr>
      <w:r>
        <w:rPr>
          <w:rFonts w:ascii="微软雅黑" w:hAnsi="微软雅黑"/>
          <w:sz w:val="21"/>
        </w:rPr>
        <w:t>对于此示例，我们还需要创建必要的出口策略。如果您完成了上一步，策略将在</w:t>
      </w:r>
      <w:r>
        <w:rPr>
          <w:rFonts w:ascii="微软雅黑" w:hAnsi="微软雅黑"/>
          <w:b/>
          <w:sz w:val="21"/>
        </w:rPr>
        <w:t>网络连接</w:t>
      </w:r>
      <w:r>
        <w:rPr>
          <w:rFonts w:ascii="微软雅黑" w:hAnsi="微软雅黑"/>
          <w:sz w:val="21"/>
        </w:rPr>
        <w:t>部分中自动建议：</w:t>
      </w:r>
    </w:p>
    <w:p>
      <w:pPr>
        <w:spacing w:after="40"/>
        <w:jc w:val="center"/>
      </w:pPr>
      <w:r>
        <w:rPr>
          <w:i/>
          <w:color w:val="646464"/>
          <w:sz w:val="18"/>
        </w:rPr>
        <w:t>图：建议的出口面板，显示建议的pokeapi.co端口443策略</w:t>
      </w:r>
    </w:p>
    <w:p>
      <w:pPr>
        <w:jc w:val="center"/>
      </w:pPr>
      <w:r>
        <w:rPr>
          <w:i/>
          <w:color w:val="FF6464"/>
          <w:sz w:val="18"/>
        </w:rPr>
        <w:t>[图片未找到：/resources/foundry/data-integration/external-transforms-suggested-egress-for-pokeapi.png]</w:t>
      </w:r>
    </w:p>
    <w:p>
      <w:pPr>
        <w:spacing w:line="360" w:lineRule="auto" w:after="120"/>
      </w:pPr>
      <w:r>
        <w:rPr>
          <w:rFonts w:ascii="微软雅黑" w:hAnsi="微软雅黑"/>
          <w:sz w:val="21"/>
        </w:rPr>
        <w:t>6\. 选择</w:t>
      </w:r>
      <w:r>
        <w:rPr>
          <w:rFonts w:ascii="微软雅黑" w:hAnsi="微软雅黑"/>
          <w:b/>
          <w:sz w:val="21"/>
        </w:rPr>
        <w:t>保存</w:t>
      </w:r>
      <w:r>
        <w:rPr>
          <w:rFonts w:ascii="微软雅黑" w:hAnsi="微软雅黑"/>
          <w:sz w:val="21"/>
        </w:rPr>
        <w:t>，然后选择</w:t>
      </w:r>
      <w:r>
        <w:rPr>
          <w:rFonts w:ascii="微软雅黑" w:hAnsi="微软雅黑"/>
          <w:b/>
          <w:sz w:val="21"/>
        </w:rPr>
        <w:t>保存并继续</w:t>
      </w:r>
      <w:r>
        <w:rPr>
          <w:rFonts w:ascii="微软雅黑" w:hAnsi="微软雅黑"/>
          <w:sz w:val="21"/>
        </w:rPr>
        <w:t>以完成源设置。</w:t>
      </w:r>
    </w:p>
    <w:p>
      <w:pPr>
        <w:pStyle w:val="Heading3"/>
      </w:pPr>
      <w:r>
        <w:rPr>
          <w:rFonts w:ascii="微软雅黑" w:hAnsi="微软雅黑"/>
        </w:rPr>
        <w:t>前提条件：将源导入代码</w:t>
      </w:r>
    </w:p>
    <w:p>
      <w:pPr>
        <w:spacing w:line="360" w:lineRule="auto" w:after="120"/>
      </w:pPr>
      <w:r>
        <w:rPr>
          <w:rFonts w:ascii="微软雅黑" w:hAnsi="微软雅黑"/>
          <w:sz w:val="21"/>
        </w:rPr>
        <w:t>具有多个域的REST API源可能无法导入。相反，如果在同一外部变换中需要多个域，您应为每个域创建单独的REST API源。</w:t>
      </w:r>
    </w:p>
    <w:p>
      <w:pPr>
        <w:pStyle w:val="ListNumber"/>
        <w:spacing w:line="360" w:lineRule="auto" w:after="120"/>
      </w:pPr>
      <w:r>
        <w:rPr>
          <w:rFonts w:ascii="微软雅黑" w:hAnsi="微软雅黑"/>
          <w:sz w:val="21"/>
        </w:rPr>
        <w:t>首先，您必须允许REST API源导入代码。要配置此设置，请导航到数据连接中的源，然后进入</w:t>
      </w:r>
      <w:r>
        <w:rPr>
          <w:rFonts w:ascii="微软雅黑" w:hAnsi="微软雅黑"/>
          <w:b/>
          <w:sz w:val="21"/>
        </w:rPr>
        <w:t>连接设置 &gt; 代码导入配置</w:t>
      </w:r>
      <w:r>
        <w:rPr>
          <w:rFonts w:ascii="微软雅黑" w:hAnsi="微软雅黑"/>
          <w:sz w:val="21"/>
        </w:rPr>
        <w:t>选项卡。</w:t>
      </w:r>
    </w:p>
    <w:p>
      <w:pPr>
        <w:pStyle w:val="ListNumber"/>
        <w:spacing w:line="360" w:lineRule="auto" w:after="120"/>
      </w:pPr>
      <w:r>
        <w:rPr>
          <w:rFonts w:ascii="微软雅黑" w:hAnsi="微软雅黑"/>
          <w:sz w:val="21"/>
        </w:rPr>
        <w:t>切换选项以</w:t>
      </w:r>
      <w:r>
        <w:rPr>
          <w:rFonts w:ascii="微软雅黑" w:hAnsi="微软雅黑"/>
          <w:b/>
          <w:sz w:val="21"/>
        </w:rPr>
        <w:t>允许此源导入代码库</w:t>
      </w:r>
      <w:r>
        <w:rPr>
          <w:rFonts w:ascii="微软雅黑" w:hAnsi="微软雅黑"/>
          <w:sz w:val="21"/>
        </w:rPr>
        <w:t>。任何导入此源的代码库将在此页面上显示。</w:t>
      </w:r>
    </w:p>
    <w:p>
      <w:pPr>
        <w:spacing w:after="40"/>
        <w:jc w:val="center"/>
      </w:pPr>
      <w:r>
        <w:rPr>
          <w:i/>
          <w:color w:val="646464"/>
          <w:sz w:val="18"/>
        </w:rPr>
        <w:t>图：数据连接中的PokeAPI源配置选项，显示代码导入配置面板，代码导入已打开。</w:t>
      </w:r>
    </w:p>
    <w:p>
      <w:pPr>
        <w:jc w:val="center"/>
      </w:pPr>
      <w:r>
        <w:rPr>
          <w:i/>
          <w:color w:val="FF6464"/>
          <w:sz w:val="18"/>
        </w:rPr>
        <w:t>[图片未找到：/resources/foundry/data-integration/external-transforms-allow-pokeapi-source-to-be-imported-into-code.png]</w:t>
      </w:r>
    </w:p>
    <w:p>
      <w:pPr>
        <w:pStyle w:val="ListNumber"/>
        <w:spacing w:line="360" w:lineRule="auto" w:after="120"/>
      </w:pPr>
      <w:r>
        <w:rPr>
          <w:rFonts w:ascii="微软雅黑" w:hAnsi="微软雅黑"/>
          <w:sz w:val="21"/>
        </w:rPr>
        <w:t>您现在可以返回您的代码库。要使用外部变换，您必须首先导入</w:t>
      </w:r>
      <w:r>
        <w:rPr>
          <w:rFonts w:ascii="Consolas" w:hAnsi="Consolas"/>
          <w:color w:val="B43C3C"/>
          <w:sz w:val="18"/>
        </w:rPr>
        <w:t>transforms-external-systems</w:t>
      </w:r>
      <w:r>
        <w:rPr>
          <w:rFonts w:ascii="微软雅黑" w:hAnsi="微软雅黑"/>
          <w:sz w:val="21"/>
        </w:rPr>
        <w:t>库。在左侧面板的</w:t>
      </w:r>
      <w:r>
        <w:rPr>
          <w:rFonts w:ascii="微软雅黑" w:hAnsi="微软雅黑"/>
          <w:b/>
          <w:sz w:val="21"/>
        </w:rPr>
        <w:t>库</w:t>
      </w:r>
      <w:r>
        <w:rPr>
          <w:rFonts w:ascii="微软雅黑" w:hAnsi="微软雅黑"/>
          <w:sz w:val="21"/>
        </w:rPr>
        <w:t>选项卡中搜索所需的库，然后选择</w:t>
      </w:r>
      <w:r>
        <w:rPr>
          <w:rFonts w:ascii="微软雅黑" w:hAnsi="微软雅黑"/>
          <w:b/>
          <w:sz w:val="21"/>
        </w:rPr>
        <w:t>安装</w:t>
      </w:r>
      <w:r>
        <w:rPr>
          <w:rFonts w:ascii="微软雅黑" w:hAnsi="微软雅黑"/>
          <w:sz w:val="21"/>
        </w:rPr>
        <w:t>以安装库。</w:t>
      </w:r>
    </w:p>
    <w:p>
      <w:pPr>
        <w:spacing w:after="40"/>
        <w:jc w:val="center"/>
      </w:pPr>
      <w:r>
        <w:rPr>
          <w:i/>
          <w:color w:val="646464"/>
          <w:sz w:val="18"/>
        </w:rPr>
        <w:t>图：代码库显示已安装的transforms-external-systems库。</w:t>
      </w:r>
    </w:p>
    <w:p>
      <w:pPr>
        <w:spacing w:before="120" w:after="240"/>
        <w:jc w:val="center"/>
      </w:pPr>
      <w:r>
        <w:drawing>
          <wp:inline xmlns:a="http://schemas.openxmlformats.org/drawingml/2006/main" xmlns:pic="http://schemas.openxmlformats.org/drawingml/2006/picture">
            <wp:extent cx="5029200" cy="2852431"/>
            <wp:docPr id="31" name="Picture 31"/>
            <wp:cNvGraphicFramePr>
              <a:graphicFrameLocks noChangeAspect="1"/>
            </wp:cNvGraphicFramePr>
            <a:graphic>
              <a:graphicData uri="http://schemas.openxmlformats.org/drawingml/2006/picture">
                <pic:pic>
                  <pic:nvPicPr>
                    <pic:cNvPr id="0" name="external-transforms-install-transforms-external-systems-library.png"/>
                    <pic:cNvPicPr/>
                  </pic:nvPicPr>
                  <pic:blipFill>
                    <a:blip r:embed="rId38"/>
                    <a:stretch>
                      <a:fillRect/>
                    </a:stretch>
                  </pic:blipFill>
                  <pic:spPr>
                    <a:xfrm>
                      <a:off x="0" y="0"/>
                      <a:ext cx="5029200" cy="2852431"/>
                    </a:xfrm>
                    <a:prstGeom prst="rect"/>
                  </pic:spPr>
                </pic:pic>
              </a:graphicData>
            </a:graphic>
          </wp:inline>
        </w:drawing>
      </w:r>
    </w:p>
    <w:p>
      <w:pPr>
        <w:spacing w:line="360" w:lineRule="auto" w:after="120"/>
      </w:pPr>
      <w:r>
        <w:rPr>
          <w:rFonts w:ascii="微软雅黑" w:hAnsi="微软雅黑"/>
          <w:color w:val="0066CC"/>
          <w:sz w:val="21"/>
          <w:u w:val="single"/>
        </w:rPr>
        <w:t>了解更多关于安装和管理库的信息。</w:t>
      </w:r>
      <w:r>
        <w:rPr>
          <w:rFonts w:ascii="微软雅黑" w:hAnsi="微软雅黑"/>
          <w:sz w:val="21"/>
        </w:rPr>
        <w:t>。</w:t>
      </w:r>
    </w:p>
    <w:p>
      <w:pPr>
        <w:pStyle w:val="ListNumber"/>
        <w:spacing w:line="360" w:lineRule="auto" w:after="120"/>
      </w:pPr>
      <w:r>
        <w:rPr>
          <w:rFonts w:ascii="微软雅黑" w:hAnsi="微软雅黑"/>
          <w:sz w:val="21"/>
        </w:rPr>
        <w:t>现在，您必须导入源。在库中，导航到左侧面板并选择由地球图标表示的</w:t>
      </w:r>
      <w:r>
        <w:rPr>
          <w:rFonts w:ascii="微软雅黑" w:hAnsi="微软雅黑"/>
          <w:b/>
          <w:sz w:val="21"/>
        </w:rPr>
        <w:t>外部系统</w:t>
      </w:r>
      <w:r>
        <w:rPr>
          <w:rFonts w:ascii="微软雅黑" w:hAnsi="微软雅黑"/>
          <w:sz w:val="21"/>
        </w:rPr>
        <w:t>选项卡。在侧边栏中，选择</w:t>
      </w:r>
      <w:r>
        <w:rPr>
          <w:rFonts w:ascii="微软雅黑" w:hAnsi="微软雅黑"/>
          <w:b/>
          <w:sz w:val="21"/>
        </w:rPr>
        <w:t>添加</w:t>
      </w:r>
      <w:r>
        <w:rPr>
          <w:rFonts w:ascii="微软雅黑" w:hAnsi="微软雅黑"/>
          <w:sz w:val="21"/>
        </w:rPr>
        <w:t>，然后搜索您之前创建的PokeAPI源。选择此源，然后</w:t>
      </w:r>
      <w:r>
        <w:rPr>
          <w:rFonts w:ascii="微软雅黑" w:hAnsi="微软雅黑"/>
          <w:b/>
          <w:sz w:val="21"/>
        </w:rPr>
        <w:t>确认选择</w:t>
      </w:r>
      <w:r>
        <w:rPr>
          <w:rFonts w:ascii="微软雅黑" w:hAnsi="微软雅黑"/>
          <w:sz w:val="21"/>
        </w:rPr>
        <w:t>以导入。</w:t>
      </w:r>
    </w:p>
    <w:p>
      <w:pPr>
        <w:spacing w:after="40"/>
        <w:jc w:val="center"/>
      </w:pPr>
      <w:r>
        <w:rPr>
          <w:i/>
          <w:color w:val="646464"/>
          <w:sz w:val="18"/>
        </w:rPr>
        <w:t>图：将PokeAPI源导入Python变换库的对话框。</w:t>
      </w:r>
    </w:p>
    <w:p>
      <w:pPr>
        <w:jc w:val="center"/>
      </w:pPr>
      <w:r>
        <w:rPr>
          <w:i/>
          <w:color w:val="FF6464"/>
          <w:sz w:val="18"/>
        </w:rPr>
        <w:t>[图片未找到：/resources/foundry/data-integration/external-transforms-import-pokeapi-source-to-repository.png]</w:t>
      </w:r>
    </w:p>
    <w:p>
      <w:pPr>
        <w:pStyle w:val="Heading2"/>
      </w:pPr>
      <w:r>
        <w:rPr>
          <w:rFonts w:ascii="微软雅黑" w:hAnsi="微软雅黑"/>
        </w:rPr>
        <w:t>编写外部变换</w:t>
      </w:r>
    </w:p>
    <w:p>
      <w:pPr>
        <w:spacing w:line="360" w:lineRule="auto" w:after="120"/>
      </w:pPr>
      <w:r>
        <w:rPr>
          <w:rFonts w:ascii="微软雅黑" w:hAnsi="微软雅黑"/>
          <w:sz w:val="21"/>
        </w:rPr>
        <w:t>一旦您设置了一个导入PokeAPI源的Python变换库，您就可以开始编写使用该源进行外部连接的Python变换代码。</w:t>
      </w:r>
    </w:p>
    <w:p>
      <w:pPr>
        <w:pStyle w:val="Heading3"/>
      </w:pPr>
      <w:r>
        <w:rPr>
          <w:rFonts w:ascii="微软雅黑" w:hAnsi="微软雅黑"/>
        </w:rPr>
        <w:t>导入和配置`@external_systems`装饰器</w:t>
      </w:r>
    </w:p>
    <w:p>
      <w:pPr>
        <w:spacing w:line="360" w:lineRule="auto" w:after="120"/>
      </w:pPr>
      <w:r>
        <w:rPr>
          <w:rFonts w:ascii="微软雅黑" w:hAnsi="微软雅黑"/>
          <w:sz w:val="21"/>
        </w:rPr>
        <w:t>要使用基于源的外部变换，您必须从</w:t>
      </w:r>
      <w:r>
        <w:rPr>
          <w:rFonts w:ascii="Consolas" w:hAnsi="Consolas"/>
          <w:color w:val="B43C3C"/>
          <w:sz w:val="18"/>
        </w:rPr>
        <w:t>transforms.external.systems</w:t>
      </w:r>
      <w:r>
        <w:rPr>
          <w:rFonts w:ascii="微软雅黑" w:hAnsi="微软雅黑"/>
          <w:sz w:val="21"/>
        </w:rPr>
        <w:t>库中导入</w:t>
      </w:r>
      <w:r>
        <w:rPr>
          <w:rFonts w:ascii="Consolas" w:hAnsi="Consolas"/>
          <w:color w:val="B43C3C"/>
          <w:sz w:val="18"/>
        </w:rPr>
        <w:t>external_systems</w:t>
      </w:r>
      <w:r>
        <w:rPr>
          <w:rFonts w:ascii="微软雅黑" w:hAnsi="微软雅黑"/>
          <w:sz w:val="21"/>
        </w:rPr>
        <w:t>装饰器和</w:t>
      </w:r>
      <w:r>
        <w:rPr>
          <w:rFonts w:ascii="Consolas" w:hAnsi="Consolas"/>
          <w:color w:val="B43C3C"/>
          <w:sz w:val="18"/>
        </w:rPr>
        <w:t>Source</w:t>
      </w:r>
      <w:r>
        <w:rPr>
          <w:rFonts w:ascii="微软雅黑" w:hAnsi="微软雅黑"/>
          <w:sz w:val="21"/>
        </w:rPr>
        <w:t>对象：</w:t>
      </w:r>
    </w:p>
    <w:p>
      <w:pPr>
        <w:spacing w:before="80" w:after="80"/>
        <w:ind w:left="567"/>
      </w:pPr>
      <w:r>
        <w:rPr>
          <w:rFonts w:ascii="Consolas" w:hAnsi="Consolas"/>
          <w:color w:val="505050"/>
          <w:sz w:val="18"/>
        </w:rPr>
        <w:t>from transforms.external.systems import external_systems, Source</w:t>
        <w:br/>
        <w:t># 从transforms.external.systems模块导入external_systems和Source类</w:t>
      </w:r>
    </w:p>
    <w:p>
      <w:pPr>
        <w:spacing w:line="360" w:lineRule="auto" w:after="120"/>
      </w:pPr>
      <w:r>
        <w:rPr>
          <w:rFonts w:ascii="微软雅黑" w:hAnsi="微软雅黑"/>
          <w:sz w:val="21"/>
        </w:rPr>
        <w:t xml:space="preserve">然后应该通过使用 </w:t>
      </w:r>
      <w:r>
        <w:rPr>
          <w:rFonts w:ascii="Consolas" w:hAnsi="Consolas"/>
          <w:color w:val="B43C3C"/>
          <w:sz w:val="18"/>
        </w:rPr>
        <w:t>external_systems</w:t>
      </w:r>
      <w:r>
        <w:rPr>
          <w:rFonts w:ascii="微软雅黑" w:hAnsi="微软雅黑"/>
          <w:sz w:val="21"/>
        </w:rPr>
        <w:t xml:space="preserve"> 装饰器来指定应该在变换中包含的源：</w:t>
      </w:r>
    </w:p>
    <w:p>
      <w:pPr>
        <w:spacing w:before="80" w:after="80"/>
        <w:ind w:left="567"/>
      </w:pPr>
      <w:r>
        <w:rPr>
          <w:rFonts w:ascii="Consolas" w:hAnsi="Consolas"/>
          <w:color w:val="505050"/>
          <w:sz w:val="18"/>
        </w:rPr>
        <w:t>@external_systems(</w:t>
        <w:br/>
        <w:t xml:space="preserve">    pokeSource=Source("ri.magritte..source.e301d738-b532-431a-8bda-fa211228bba6")</w:t>
        <w:br/>
        <w:t>)</w:t>
      </w:r>
    </w:p>
    <w:p>
      <w:pPr>
        <w:spacing w:line="360" w:lineRule="auto" w:after="120"/>
      </w:pPr>
      <w:r>
        <w:rPr>
          <w:rFonts w:ascii="微软雅黑" w:hAnsi="微软雅黑"/>
          <w:sz w:val="21"/>
        </w:rPr>
        <w:t xml:space="preserve">这个代码片段展示了一个装饰器 </w:t>
      </w:r>
      <w:r>
        <w:rPr>
          <w:rFonts w:ascii="Consolas" w:hAnsi="Consolas"/>
          <w:color w:val="B43C3C"/>
          <w:sz w:val="18"/>
        </w:rPr>
        <w:t>@external_systems</w:t>
      </w:r>
      <w:r>
        <w:rPr>
          <w:rFonts w:ascii="微软雅黑" w:hAnsi="微软雅黑"/>
          <w:sz w:val="21"/>
        </w:rPr>
        <w:t xml:space="preserve"> 的使用，装饰器用于为函数或方法指定外部系统的依赖。</w:t>
      </w:r>
      <w:r>
        <w:rPr>
          <w:rFonts w:ascii="Consolas" w:hAnsi="Consolas"/>
          <w:color w:val="B43C3C"/>
          <w:sz w:val="18"/>
        </w:rPr>
        <w:t>pokeSource</w:t>
      </w:r>
      <w:r>
        <w:rPr>
          <w:rFonts w:ascii="微软雅黑" w:hAnsi="微软雅黑"/>
          <w:sz w:val="21"/>
        </w:rPr>
        <w:t xml:space="preserve"> 是一个参数，其值是一个 </w:t>
      </w:r>
      <w:r>
        <w:rPr>
          <w:rFonts w:ascii="Consolas" w:hAnsi="Consolas"/>
          <w:color w:val="B43C3C"/>
          <w:sz w:val="18"/>
        </w:rPr>
        <w:t>Source</w:t>
      </w:r>
      <w:r>
        <w:rPr>
          <w:rFonts w:ascii="微软雅黑" w:hAnsi="微软雅黑"/>
          <w:sz w:val="21"/>
        </w:rPr>
        <w:t xml:space="preserve"> 对象。</w:t>
      </w:r>
      <w:r>
        <w:rPr>
          <w:rFonts w:ascii="Consolas" w:hAnsi="Consolas"/>
          <w:color w:val="B43C3C"/>
          <w:sz w:val="18"/>
        </w:rPr>
        <w:t>Source</w:t>
      </w:r>
      <w:r>
        <w:rPr>
          <w:rFonts w:ascii="微软雅黑" w:hAnsi="微软雅黑"/>
          <w:sz w:val="21"/>
        </w:rPr>
        <w:t xml:space="preserve"> 的构造函数接受一个字符串，这个字符串通常是一个标识符，用于指明具体的外部数据源。在这里，标识符是 </w:t>
      </w:r>
      <w:r>
        <w:rPr>
          <w:rFonts w:ascii="Consolas" w:hAnsi="Consolas"/>
          <w:color w:val="B43C3C"/>
          <w:sz w:val="18"/>
        </w:rPr>
        <w:t>"ri.magritte..source.e301d738-b532-431a-8bda-fa211228bba6"</w:t>
      </w:r>
      <w:r>
        <w:rPr>
          <w:rFonts w:ascii="微软雅黑" w:hAnsi="微软雅黑"/>
          <w:sz w:val="21"/>
        </w:rPr>
        <w:t>，这可能是一个表示外部系统的唯一标识符。</w:t>
      </w:r>
    </w:p>
    <w:p>
      <w:pPr>
        <w:spacing w:line="360" w:lineRule="auto" w:after="120"/>
      </w:pPr>
      <w:r>
        <w:rPr>
          <w:rFonts w:ascii="微软雅黑" w:hAnsi="微软雅黑"/>
          <w:sz w:val="21"/>
        </w:rPr>
        <w:t>数据源将自动渲染为链接，以在数据连接中打开，并显示数据源名称而不是资源标识符。</w:t>
      </w:r>
    </w:p>
    <w:p>
      <w:pPr>
        <w:pStyle w:val="Heading3"/>
      </w:pPr>
      <w:r>
        <w:rPr>
          <w:rFonts w:ascii="微软雅黑" w:hAnsi="微软雅黑"/>
        </w:rPr>
        <w:t>访问数据源属性和凭据</w:t>
      </w:r>
    </w:p>
    <w:p>
      <w:pPr>
        <w:spacing w:line="360" w:lineRule="auto" w:after="120"/>
      </w:pPr>
      <w:r>
        <w:rPr>
          <w:rFonts w:ascii="微软雅黑" w:hAnsi="微软雅黑"/>
          <w:sz w:val="21"/>
        </w:rPr>
        <w:t>一旦将数据源导入到您的变换中，您可以使用内置连接Object的</w:t>
      </w:r>
      <w:r>
        <w:rPr>
          <w:rFonts w:ascii="Consolas" w:hAnsi="Consolas"/>
          <w:color w:val="B43C3C"/>
          <w:sz w:val="18"/>
        </w:rPr>
        <w:t>get_https_connection()</w:t>
      </w:r>
      <w:r>
        <w:rPr>
          <w:rFonts w:ascii="微软雅黑" w:hAnsi="微软雅黑"/>
          <w:sz w:val="21"/>
        </w:rPr>
        <w:t>方法访问数据源的属性。下面的示例展示了如何获取我们在上一步配置的PokeAPI数据源的基本URL。</w:t>
      </w:r>
    </w:p>
    <w:p>
      <w:pPr>
        <w:spacing w:before="80" w:after="80"/>
        <w:ind w:left="567"/>
      </w:pPr>
      <w:r>
        <w:rPr>
          <w:rFonts w:ascii="Consolas" w:hAnsi="Consolas"/>
          <w:color w:val="505050"/>
          <w:sz w:val="18"/>
        </w:rPr>
        <w:t># 获取HTTPS连接的URL并存储在变量pokeUrl中</w:t>
        <w:br/>
        <w:t>pokeUrl = pokeSource.get_https_connection().url</w:t>
      </w:r>
    </w:p>
    <w:p>
      <w:pPr>
        <w:spacing w:line="360" w:lineRule="auto" w:after="120"/>
      </w:pPr>
      <w:r>
        <w:rPr>
          <w:rFonts w:ascii="微软雅黑" w:hAnsi="微软雅黑"/>
          <w:sz w:val="21"/>
        </w:rPr>
        <w:t>源上存储的其他密钥或凭证也可以从源访问。要识别可以访问的密钥名称，请导航到变换中的左侧面板。</w:t>
      </w:r>
    </w:p>
    <w:p>
      <w:pPr>
        <w:spacing w:after="40"/>
        <w:jc w:val="center"/>
      </w:pPr>
      <w:r>
        <w:rPr>
          <w:i/>
          <w:color w:val="646464"/>
          <w:sz w:val="18"/>
        </w:rPr>
        <w:t>图：左侧面板显示了PokeAPI源的详细信息。</w:t>
      </w:r>
    </w:p>
    <w:p>
      <w:pPr>
        <w:spacing w:before="120" w:after="240"/>
        <w:jc w:val="center"/>
      </w:pPr>
      <w:r>
        <w:drawing>
          <wp:inline xmlns:a="http://schemas.openxmlformats.org/drawingml/2006/main" xmlns:pic="http://schemas.openxmlformats.org/drawingml/2006/picture">
            <wp:extent cx="2746862" cy="4114800"/>
            <wp:docPr id="32" name="Picture 32"/>
            <wp:cNvGraphicFramePr>
              <a:graphicFrameLocks noChangeAspect="1"/>
            </wp:cNvGraphicFramePr>
            <a:graphic>
              <a:graphicData uri="http://schemas.openxmlformats.org/drawingml/2006/picture">
                <pic:pic>
                  <pic:nvPicPr>
                    <pic:cNvPr id="0" name="external-transforms-left-panel.png"/>
                    <pic:cNvPicPr/>
                  </pic:nvPicPr>
                  <pic:blipFill>
                    <a:blip r:embed="rId39"/>
                    <a:stretch>
                      <a:fillRect/>
                    </a:stretch>
                  </pic:blipFill>
                  <pic:spPr>
                    <a:xfrm>
                      <a:off x="0" y="0"/>
                      <a:ext cx="2746862" cy="4114800"/>
                    </a:xfrm>
                    <a:prstGeom prst="rect"/>
                  </pic:spPr>
                </pic:pic>
              </a:graphicData>
            </a:graphic>
          </wp:inline>
        </w:drawing>
      </w:r>
    </w:p>
    <w:p>
      <w:pPr>
        <w:spacing w:line="360" w:lineRule="auto" w:after="120"/>
      </w:pPr>
      <w:r>
        <w:rPr>
          <w:rFonts w:ascii="微软雅黑" w:hAnsi="微软雅黑"/>
          <w:sz w:val="21"/>
        </w:rPr>
        <w:t>使用以下语法在代码中访问密钥：</w:t>
      </w:r>
    </w:p>
    <w:p>
      <w:pPr>
        <w:spacing w:before="80" w:after="80"/>
        <w:ind w:left="567"/>
      </w:pPr>
      <w:r>
        <w:rPr>
          <w:rFonts w:ascii="Consolas" w:hAnsi="Consolas"/>
          <w:color w:val="505050"/>
          <w:sz w:val="18"/>
        </w:rPr>
        <w:t>pokeSource.get_secret("additionalSecretFoo")</w:t>
        <w:br/>
        <w:t># 从 pokeSource 获取名为 "additionalSecretFoo" 的秘密</w:t>
      </w:r>
    </w:p>
    <w:p>
      <w:pPr>
        <w:spacing w:line="360" w:lineRule="auto" w:after="120"/>
      </w:pPr>
      <w:r>
        <w:rPr>
          <w:rFonts w:ascii="微软雅黑" w:hAnsi="微软雅黑"/>
          <w:sz w:val="21"/>
        </w:rPr>
        <w:t>目前，如果源没有提供HTTPS客户端，则无法访问非凭证的源属性。例如，在</w:t>
      </w:r>
      <w:r>
        <w:rPr>
          <w:rFonts w:ascii="微软雅黑" w:hAnsi="微软雅黑"/>
          <w:color w:val="0066CC"/>
          <w:sz w:val="21"/>
          <w:u w:val="single"/>
        </w:rPr>
        <w:t>PostgreSQL源</w:t>
      </w:r>
      <w:r>
        <w:rPr>
          <w:rFonts w:ascii="微软雅黑" w:hAnsi="微软雅黑"/>
          <w:sz w:val="21"/>
        </w:rPr>
        <w:t>上，您将无法访问</w:t>
      </w:r>
      <w:r>
        <w:rPr>
          <w:rFonts w:ascii="Consolas" w:hAnsi="Consolas"/>
          <w:color w:val="B43C3C"/>
          <w:sz w:val="18"/>
        </w:rPr>
        <w:t>hostname</w:t>
      </w:r>
      <w:r>
        <w:rPr>
          <w:rFonts w:ascii="微软雅黑" w:hAnsi="微软雅黑"/>
          <w:sz w:val="21"/>
        </w:rPr>
        <w:t>或其他非机密属性。</w:t>
      </w:r>
    </w:p>
    <w:p>
      <w:pPr>
        <w:pStyle w:val="Heading3"/>
      </w:pPr>
      <w:r>
        <w:rPr>
          <w:rFonts w:ascii="微软雅黑" w:hAnsi="微软雅黑"/>
        </w:rPr>
        <w:t>使用内置HTTP客户端</w:t>
      </w:r>
    </w:p>
    <w:p>
      <w:pPr>
        <w:spacing w:line="360" w:lineRule="auto" w:after="120"/>
      </w:pPr>
      <w:r>
        <w:rPr>
          <w:rFonts w:ascii="微软雅黑" w:hAnsi="微软雅黑"/>
          <w:sz w:val="21"/>
        </w:rPr>
        <w:t>对于提供RESTful API的源，源对象允许您与内置HTTPS客户端进行交互。该客户端将预先配置源上指定的所有详细信息，包括任何服务器或客户端证书，您可以直接开始向外部系统发出请求。</w:t>
      </w:r>
    </w:p>
    <w:p>
      <w:pPr>
        <w:spacing w:before="80" w:after="80"/>
        <w:ind w:left="567"/>
      </w:pPr>
      <w:r>
        <w:rPr>
          <w:rFonts w:ascii="Consolas" w:hAnsi="Consolas"/>
          <w:color w:val="505050"/>
          <w:sz w:val="18"/>
        </w:rPr>
        <w:t>pokeUrl = pokeSource.get_https_connection().url</w:t>
        <w:br/>
        <w:t>pokeClient = pokeSource.get_https_connection().get_client()</w:t>
        <w:br/>
        <w:t># pokeClient 是从 Python `requests` 库中预配置的 Session 对象。</w:t>
        <w:br/>
        <w:t># GET 请求的示例：</w:t>
        <w:br/>
        <w:t>response = pokeClient.get(pokeUrl + "/api/v2/pokemon/" + name, timeout=10)</w:t>
        <w:br/>
        <w:t># 这里我们使用 GET 方法从 PokeAPI 获取特定名称的宝可梦数据，超时时间设置为 10 秒。</w:t>
      </w:r>
    </w:p>
    <w:p>
      <w:pPr>
        <w:spacing w:line="360" w:lineRule="auto" w:after="120"/>
      </w:pPr>
      <w:r>
        <w:rPr>
          <w:rFonts w:ascii="微软雅黑" w:hAnsi="微软雅黑"/>
          <w:sz w:val="21"/>
        </w:rPr>
        <w:t>当使用代理代理连接到本地系统时，您\_必须\_使用内置客户端，因为它将自动配置必要的代理代理配置。</w:t>
      </w:r>
    </w:p>
    <w:p>
      <w:pPr>
        <w:spacing w:line="360" w:lineRule="auto" w:after="120"/>
      </w:pPr>
      <w:r>
        <w:rPr>
          <w:rFonts w:ascii="微软雅黑" w:hAnsi="微软雅黑"/>
          <w:sz w:val="21"/>
        </w:rPr>
        <w:t>代理代理是一个测试功能，可能不包括在您的注册中。</w:t>
      </w:r>
    </w:p>
    <w:p>
      <w:pPr>
        <w:pStyle w:val="Heading3"/>
      </w:pPr>
      <w:r>
        <w:rPr>
          <w:rFonts w:ascii="微软雅黑" w:hAnsi="微软雅黑"/>
        </w:rPr>
        <w:t>示例：从 PokeAPI 导入数据</w:t>
      </w:r>
    </w:p>
    <w:p>
      <w:pPr>
        <w:spacing w:line="360" w:lineRule="auto" w:after="120"/>
      </w:pPr>
      <w:r>
        <w:rPr>
          <w:rFonts w:ascii="微软雅黑" w:hAnsi="微软雅黑"/>
          <w:sz w:val="21"/>
        </w:rPr>
        <w:t>以下示例展示了一个完整的变换，该变换以每次100批的形式分页浏览API返回的所有pokemon，并将所有pokemon名称输出到一个数据集中。</w:t>
      </w:r>
    </w:p>
    <w:p>
      <w:pPr>
        <w:spacing w:before="80" w:after="80"/>
        <w:ind w:left="567"/>
      </w:pPr>
      <w:r>
        <w:rPr>
          <w:rFonts w:ascii="Consolas" w:hAnsi="Consolas"/>
          <w:color w:val="505050"/>
          <w:sz w:val="18"/>
        </w:rPr>
        <w:t>from transforms.api import transform_df, Output</w:t>
        <w:br/>
        <w:t>from transforms.external.systems import external_systems, Source</w:t>
        <w:br/>
        <w:t>from pyspark.sql import Row</w:t>
        <w:br/>
        <w:t>import json</w:t>
        <w:br/>
        <w:t>import logging</w:t>
        <w:br/>
        <w:t>logger = logging.getLogger(__name__)</w:t>
        <w:br/>
        <w:t>@external_systems(</w:t>
        <w:br/>
        <w:t xml:space="preserve">    # 指定导入到存储库的源</w:t>
        <w:br/>
        <w:t xml:space="preserve">    pokeSource=Source("ri.magritte..source.e301d738-b532-431a-8bda-fa211228bba6")</w:t>
        <w:br/>
        <w:t>)</w:t>
        <w:br/>
        <w:t>@transform_df(</w:t>
        <w:br/>
        <w:t xml:space="preserve">    # 这个转换不使用任何输入，只指定一个输出数据集</w:t>
        <w:br/>
        <w:t xml:space="preserve">    Output("/path/to/output/dataset")</w:t>
        <w:br/>
        <w:t>)</w:t>
        <w:br/>
        <w:t>def compute(pokeSource, ctx):</w:t>
        <w:br/>
        <w:t xml:space="preserve">    poke = pokeSource.get_https_connection().get_client()</w:t>
        <w:br/>
        <w:t xml:space="preserve">    pokeUrl = pokeSource.get_https_connection().url</w:t>
        <w:br/>
        <w:t xml:space="preserve">    data = []</w:t>
        <w:br/>
        <w:t xml:space="preserve">    startUrl = pokeUrl + "/api/v2/pokemon?limit=100&amp;offset=0"</w:t>
        <w:br/>
        <w:t xml:space="preserve">    while startUrl is not None:</w:t>
        <w:br/>
        <w:t xml:space="preserve">        # 循环直到没有更多的页面可用</w:t>
        <w:br/>
        <w:t xml:space="preserve">        logger.info("Fetched data from PokeAPI:" + startUrl)</w:t>
        <w:br/>
        <w:t xml:space="preserve">        # 使用为PokeAPI源内置的HTTPS客户端获取每页最多100个宝可梦</w:t>
        <w:br/>
        <w:t xml:space="preserve">        response = poke.get(startUrl)</w:t>
        <w:br/>
        <w:t xml:space="preserve">        responseJson = json.loads(response.text)</w:t>
        <w:br/>
        <w:t xml:space="preserve">        for pokemon in responseJson["results"]:</w:t>
        <w:br/>
        <w:t xml:space="preserve">            data.append(Row(name=pokemon["name"]))</w:t>
        <w:br/>
        <w:t xml:space="preserve">        startUrl = responseJson["next"]</w:t>
        <w:br/>
        <w:t xml:space="preserve">    # 从外部系统获取并解析的数据被写入输出数据集</w:t>
        <w:br/>
        <w:t xml:space="preserve">    return ctx.spark_session.createDataFrame(data)</w:t>
      </w:r>
    </w:p>
    <w:p>
      <w:pPr>
        <w:pStyle w:val="Heading3"/>
      </w:pPr>
      <w:r>
        <w:rPr>
          <w:rFonts w:ascii="微软雅黑" w:hAnsi="微软雅黑"/>
        </w:rPr>
        <w:t>代码解释</w:t>
      </w:r>
    </w:p>
    <w:p>
      <w:pPr>
        <w:pStyle w:val="ListBullet"/>
        <w:spacing w:line="360" w:lineRule="auto" w:after="120"/>
      </w:pPr>
      <w:r>
        <w:rPr>
          <w:rFonts w:ascii="微软雅黑" w:hAnsi="微软雅黑"/>
          <w:b/>
          <w:sz w:val="21"/>
        </w:rPr>
        <w:t>external\_systems</w:t>
      </w:r>
      <w:r>
        <w:rPr>
          <w:rFonts w:ascii="微软雅黑" w:hAnsi="微软雅黑"/>
          <w:sz w:val="21"/>
        </w:rPr>
        <w:t xml:space="preserve"> 和 </w:t>
      </w:r>
      <w:r>
        <w:rPr>
          <w:rFonts w:ascii="微软雅黑" w:hAnsi="微软雅黑"/>
          <w:b/>
          <w:sz w:val="21"/>
        </w:rPr>
        <w:t>transform\_df</w:t>
      </w:r>
      <w:r>
        <w:rPr>
          <w:rFonts w:ascii="微软雅黑" w:hAnsi="微软雅黑"/>
          <w:sz w:val="21"/>
        </w:rPr>
        <w:t xml:space="preserve"> 装饰器用于定义从外部系统拉取数据并将其转换为输出数据集的过程。</w:t>
      </w:r>
    </w:p>
    <w:p>
      <w:pPr>
        <w:pStyle w:val="ListBullet"/>
        <w:spacing w:line="360" w:lineRule="auto" w:after="120"/>
      </w:pPr>
      <w:r>
        <w:rPr>
          <w:rFonts w:ascii="Consolas" w:hAnsi="Consolas"/>
          <w:color w:val="B43C3C"/>
          <w:sz w:val="18"/>
        </w:rPr>
        <w:t>pokeSource</w:t>
      </w:r>
      <w:r>
        <w:rPr>
          <w:rFonts w:ascii="微软雅黑" w:hAnsi="微软雅黑"/>
          <w:sz w:val="21"/>
        </w:rPr>
        <w:t xml:space="preserve"> 从指定的源获取连接，用于访问 PokeAPI。</w:t>
      </w:r>
    </w:p>
    <w:p>
      <w:pPr>
        <w:pStyle w:val="ListBullet"/>
        <w:spacing w:line="360" w:lineRule="auto" w:after="120"/>
      </w:pPr>
      <w:r>
        <w:rPr>
          <w:rFonts w:ascii="Consolas" w:hAnsi="Consolas"/>
          <w:color w:val="B43C3C"/>
          <w:sz w:val="18"/>
        </w:rPr>
        <w:t>compute</w:t>
      </w:r>
      <w:r>
        <w:rPr>
          <w:rFonts w:ascii="微软雅黑" w:hAnsi="微软雅黑"/>
          <w:sz w:val="21"/>
        </w:rPr>
        <w:t xml:space="preserve"> 函数负责从 PokeAPI 获取数据，将每个宝可梦的名字提取出来并存储在一个列表中。</w:t>
      </w:r>
    </w:p>
    <w:p>
      <w:pPr>
        <w:pStyle w:val="ListBullet"/>
        <w:spacing w:line="360" w:lineRule="auto" w:after="120"/>
      </w:pPr>
      <w:r>
        <w:rPr>
          <w:rFonts w:ascii="微软雅黑" w:hAnsi="微软雅黑"/>
          <w:sz w:val="21"/>
        </w:rPr>
        <w:t>最终，这些数据被转换为 Spark 的 DataFrame 格式，并写入到指定的输出路径。</w:t>
      </w:r>
    </w:p>
    <w:p>
      <w:pPr>
        <w:pStyle w:val="Heading2"/>
      </w:pPr>
      <w:r>
        <w:rPr>
          <w:rFonts w:ascii="微软雅黑" w:hAnsi="微软雅黑"/>
        </w:rPr>
        <w:t>在外部变换中使用 Foundry 输入</w:t>
      </w:r>
    </w:p>
    <w:p>
      <w:pPr>
        <w:spacing w:line="360" w:lineRule="auto" w:after="120"/>
      </w:pPr>
      <w:r>
        <w:rPr>
          <w:rFonts w:ascii="微软雅黑" w:hAnsi="微软雅黑"/>
          <w:sz w:val="21"/>
        </w:rPr>
        <w:t>外部变换通常需要使用 Foundry 输入数据。例如，您可能希望查询一个 API，以为表格数据集中的每一行收集额外的元数据。或者，您可能有一个需要将 Foundry 数据导出到外部软件系统的工作流。</w:t>
      </w:r>
    </w:p>
    <w:p>
      <w:pPr>
        <w:spacing w:line="360" w:lineRule="auto" w:after="120"/>
      </w:pPr>
      <w:r>
        <w:rPr>
          <w:rFonts w:ascii="微软雅黑" w:hAnsi="微软雅黑"/>
          <w:sz w:val="21"/>
        </w:rPr>
        <w:t>此类情况被视为*受出口管制*的工作流，因为它们开启了将安全的 Foundry 数据导出到另一个具有未知安全保证和中断数据沿袭的系统的可能性。在配置源连接时，源所有者必须指定是否可以导出 Foundry 的数据，并提供可能导出的安全权限标记和组织集。Foundry 提供治理控制，以确保开发人员可以清晰地编码安全意图，信息安全官员可以审计与外部系统交互的工作流的范围和意图。</w:t>
      </w:r>
    </w:p>
    <w:p>
      <w:pPr>
        <w:pStyle w:val="Heading3"/>
      </w:pPr>
      <w:r>
        <w:rPr>
          <w:rFonts w:ascii="微软雅黑" w:hAnsi="微软雅黑"/>
        </w:rPr>
        <w:t>在源上配置出口控制</w:t>
      </w:r>
    </w:p>
    <w:p>
      <w:pPr>
        <w:spacing w:line="360" w:lineRule="auto" w:after="120"/>
      </w:pPr>
      <w:r>
        <w:rPr>
          <w:rFonts w:ascii="微软雅黑" w:hAnsi="微软雅黑"/>
          <w:sz w:val="21"/>
        </w:rPr>
        <w:t>出口是通过</w:t>
      </w:r>
      <w:r>
        <w:rPr>
          <w:rFonts w:ascii="微软雅黑" w:hAnsi="微软雅黑"/>
          <w:color w:val="0066CC"/>
          <w:sz w:val="21"/>
          <w:u w:val="single"/>
        </w:rPr>
        <w:t>权限标记</w:t>
      </w:r>
      <w:r>
        <w:rPr>
          <w:rFonts w:ascii="微软雅黑" w:hAnsi="微软雅黑"/>
          <w:sz w:val="21"/>
        </w:rPr>
        <w:t xml:space="preserve">控制的。在配置源时，出口配置用于指定哪些权限标记和组织可以安全地导出到外部系统。这是通过导航到数据连接应用程序中的源，然后导航到 </w:t>
      </w:r>
      <w:r>
        <w:rPr>
          <w:rFonts w:ascii="微软雅黑" w:hAnsi="微软雅黑"/>
          <w:b/>
          <w:sz w:val="21"/>
        </w:rPr>
        <w:t>连接设置 &gt; 出口配置</w:t>
      </w:r>
      <w:r>
        <w:rPr>
          <w:rFonts w:ascii="微软雅黑" w:hAnsi="微软雅黑"/>
          <w:sz w:val="21"/>
        </w:rPr>
        <w:t xml:space="preserve"> 选项卡来完成的。然后，您应切换开启</w:t>
      </w:r>
      <w:r>
        <w:rPr>
          <w:rFonts w:ascii="微软雅黑" w:hAnsi="微软雅黑"/>
          <w:b/>
          <w:sz w:val="21"/>
        </w:rPr>
        <w:t>启用导出到此源</w:t>
      </w:r>
      <w:r>
        <w:rPr>
          <w:rFonts w:ascii="微软雅黑" w:hAnsi="微软雅黑"/>
          <w:sz w:val="21"/>
        </w:rPr>
        <w:t>的选项，并选择可能导出的权限标记和组织集。</w:t>
      </w:r>
    </w:p>
    <w:p>
      <w:pPr>
        <w:spacing w:line="360" w:lineRule="auto" w:after="120"/>
      </w:pPr>
      <w:r>
        <w:rPr>
          <w:rFonts w:ascii="微软雅黑" w:hAnsi="微软雅黑"/>
          <w:sz w:val="21"/>
        </w:rPr>
        <w:t>执行此操作需要权限以移除相关数据和组织上的权限标记，因为导出被视为相当于移除 Foundry 中数据的权限标记。</w:t>
      </w:r>
    </w:p>
    <w:p>
      <w:pPr>
        <w:spacing w:line="360" w:lineRule="auto" w:after="120"/>
      </w:pPr>
      <w:r>
        <w:rPr>
          <w:rFonts w:ascii="微软雅黑" w:hAnsi="微软雅黑"/>
          <w:sz w:val="21"/>
        </w:rPr>
        <w:t>必须切换开启</w:t>
      </w:r>
      <w:r>
        <w:rPr>
          <w:rFonts w:ascii="微软雅黑" w:hAnsi="微软雅黑"/>
          <w:b/>
          <w:sz w:val="21"/>
        </w:rPr>
        <w:t>启用导出到此源</w:t>
      </w:r>
      <w:r>
        <w:rPr>
          <w:rFonts w:ascii="微软雅黑" w:hAnsi="微软雅黑"/>
          <w:sz w:val="21"/>
        </w:rPr>
        <w:t>的设置，以允许以下操作：</w:t>
      </w:r>
    </w:p>
    <w:p>
      <w:pPr>
        <w:pStyle w:val="ListBullet"/>
        <w:spacing w:line="360" w:lineRule="auto" w:after="120"/>
      </w:pPr>
      <w:r>
        <w:rPr>
          <w:rFonts w:ascii="微软雅黑" w:hAnsi="微软雅黑"/>
          <w:sz w:val="21"/>
        </w:rPr>
        <w:t>使用数据集、媒体集和流作为导入此源的 Python 变换代码的输入。</w:t>
      </w:r>
    </w:p>
    <w:p>
      <w:pPr>
        <w:pStyle w:val="ListBullet"/>
        <w:spacing w:line="360" w:lineRule="auto" w:after="120"/>
      </w:pPr>
      <w:r>
        <w:rPr>
          <w:rFonts w:ascii="微软雅黑" w:hAnsi="微软雅黑"/>
          <w:sz w:val="21"/>
        </w:rPr>
        <w:t>在 Python 变换中使用注册在此源上的虚拟表。</w:t>
      </w:r>
    </w:p>
    <w:p>
      <w:pPr>
        <w:spacing w:line="360" w:lineRule="auto" w:after="120"/>
      </w:pPr>
      <w:r>
        <w:rPr>
          <w:rFonts w:ascii="微软雅黑" w:hAnsi="微软雅黑"/>
          <w:sz w:val="21"/>
        </w:rPr>
        <w:t xml:space="preserve">下面您可以看到 PokeAPI 源的一个出口配置示例，允许来自 </w:t>
      </w:r>
      <w:r>
        <w:rPr>
          <w:rFonts w:ascii="Consolas" w:hAnsi="Consolas"/>
          <w:color w:val="B43C3C"/>
          <w:sz w:val="18"/>
        </w:rPr>
        <w:t>Palantir</w:t>
      </w:r>
      <w:r>
        <w:rPr>
          <w:rFonts w:ascii="微软雅黑" w:hAnsi="微软雅黑"/>
          <w:sz w:val="21"/>
        </w:rPr>
        <w:t xml:space="preserve"> 组织且没有额外权限标记的数据导出到 PokeAPI：</w:t>
      </w:r>
    </w:p>
    <w:p>
      <w:pPr>
        <w:spacing w:after="40"/>
        <w:jc w:val="center"/>
      </w:pPr>
      <w:r>
        <w:rPr>
          <w:i/>
          <w:color w:val="646464"/>
          <w:sz w:val="18"/>
        </w:rPr>
        <w:t>图：显示 PokeAPI 源出口配置的数据连接设置，启用导出到此源的选项已切换开启</w:t>
      </w:r>
    </w:p>
    <w:p>
      <w:pPr>
        <w:jc w:val="center"/>
      </w:pPr>
      <w:r>
        <w:rPr>
          <w:i/>
          <w:color w:val="FF6464"/>
          <w:sz w:val="18"/>
        </w:rPr>
        <w:t>[图片未找到：/resources/foundry/data-integration/external-transforms-export-configuration-for-pokeapi-source.png]</w:t>
      </w:r>
    </w:p>
    <w:p>
      <w:pPr>
        <w:spacing w:line="360" w:lineRule="auto" w:after="120"/>
      </w:pPr>
      <w:r>
        <w:rPr>
          <w:rFonts w:ascii="微软雅黑" w:hAnsi="微软雅黑"/>
          <w:sz w:val="21"/>
        </w:rPr>
        <w:t>请注意，即使您实际上并没有将数据导出到此系统，</w:t>
      </w:r>
      <w:r>
        <w:rPr>
          <w:rFonts w:ascii="微软雅黑" w:hAnsi="微软雅黑"/>
          <w:b/>
          <w:sz w:val="21"/>
        </w:rPr>
        <w:t>启用导出到此源</w:t>
      </w:r>
      <w:r>
        <w:rPr>
          <w:rFonts w:ascii="微软雅黑" w:hAnsi="微软雅黑"/>
          <w:sz w:val="21"/>
        </w:rPr>
        <w:t>仍必须切换开启，因为允许 Foundry 数据输入到与此系统有开放连接的同一计算任务中意味着数据\_可能\_被导出。</w:t>
      </w:r>
    </w:p>
    <w:p>
      <w:pPr>
        <w:pStyle w:val="Heading3"/>
      </w:pPr>
      <w:r>
        <w:rPr>
          <w:rFonts w:ascii="微软雅黑" w:hAnsi="微软雅黑"/>
        </w:rPr>
        <w:t>示例：将 Foundry 导入与 PokeAPI 的数据结合使用</w:t>
      </w:r>
    </w:p>
    <w:p>
      <w:pPr>
        <w:spacing w:line="360" w:lineRule="auto" w:after="120"/>
      </w:pPr>
      <w:r>
        <w:rPr>
          <w:rFonts w:ascii="微软雅黑" w:hAnsi="微软雅黑"/>
          <w:sz w:val="21"/>
        </w:rPr>
        <w:t>在此示例中，我们从一个包含宝可梦名称的输入数据集开始，并使用 PokeAPI 输出一个丰富的数据集，其中包括每个宝可梦的身高和体重。它还展示了基于响应状态代码的基本出错处理。</w:t>
      </w:r>
    </w:p>
    <w:p>
      <w:pPr>
        <w:spacing w:before="80" w:after="80"/>
        <w:ind w:left="567"/>
      </w:pPr>
      <w:r>
        <w:rPr>
          <w:rFonts w:ascii="Consolas" w:hAnsi="Consolas"/>
          <w:color w:val="505050"/>
          <w:sz w:val="18"/>
        </w:rPr>
        <w:t>from transforms.api import transform_df, Output, Input</w:t>
        <w:br/>
        <w:t>from transforms.external.systems import external_systems, Source</w:t>
        <w:br/>
        <w:t>from pyspark.sql import Row</w:t>
        <w:br/>
        <w:t>import json</w:t>
        <w:br/>
        <w:t>import logging</w:t>
        <w:br/>
        <w:t>logger = logging.getLogger(__name__)</w:t>
        <w:br/>
        <w:t># 定义外部数据源，使用 PokeAPI 的源</w:t>
        <w:br/>
        <w:t>@external_systems(</w:t>
        <w:br/>
        <w:t xml:space="preserve">    pokeSource=Source("ri.magritte..source.e301d738-b532-431a-8bda-fa211228bba6")</w:t>
        <w:br/>
        <w:t>)</w:t>
        <w:br/>
        <w:t># 定义数据转换函数</w:t>
        <w:br/>
        <w:t>@transform_df(</w:t>
        <w:br/>
        <w:t xml:space="preserve">    # 输出数据集，包含从 PokeAPI 获取的增强型宝可梦数据</w:t>
        <w:br/>
        <w:t xml:space="preserve">    Output("/path/to/output/dataset"),</w:t>
        <w:br/>
        <w:t xml:space="preserve">    # 输入数据集，包含宝可梦的名称</w:t>
        <w:br/>
        <w:t xml:space="preserve">    pokemonList=Input("/path/to/input/dataset")</w:t>
        <w:br/>
        <w:t>)</w:t>
        <w:br/>
        <w:t>def compute(pokeSource, pokemonList, ctx):</w:t>
        <w:br/>
        <w:t xml:space="preserve">    # 获取HTTPS连接的客户端</w:t>
        <w:br/>
        <w:t xml:space="preserve">    poke = pokeSource.get_https_connection().get_client()</w:t>
        <w:br/>
        <w:t xml:space="preserve">    # 获取HTTPS连接的URL</w:t>
        <w:br/>
        <w:t xml:space="preserve">    pokeUrl = pokeSource.get_https_connection().url</w:t>
        <w:br/>
        <w:t xml:space="preserve">    def make_request_and_enrich(row: Row):</w:t>
        <w:br/>
        <w:t xml:space="preserve">        name = row["name"]</w:t>
        <w:br/>
        <w:t xml:space="preserve">        # 向PokeAPI发送请求获取宝可梦数据</w:t>
        <w:br/>
        <w:t xml:space="preserve">        response = poke.get(pokeUrl + "/api/v2/pokemon/" + name, timeout=10)</w:t>
        <w:br/>
        <w:t xml:space="preserve">        if response.status_code == 200:</w:t>
        <w:br/>
        <w:t xml:space="preserve">            # 解析返回的JSON数据</w:t>
        <w:br/>
        <w:t xml:space="preserve">            data = json.loads(response.text)</w:t>
        <w:br/>
        <w:t xml:space="preserve">            height = data["height"]  # 获取宝可梦的高度</w:t>
        <w:br/>
        <w:t xml:space="preserve">            weight = data["weight"]  # 获取宝可梦的体重</w:t>
        <w:br/>
        <w:t xml:space="preserve">        else:</w:t>
        <w:br/>
        <w:t xml:space="preserve">            logger.warn(f"Request for {name} failed with status code {response.status_code}.")</w:t>
        <w:br/>
        <w:t xml:space="preserve">            height = None</w:t>
        <w:br/>
        <w:t xml:space="preserve">            weight = None</w:t>
        <w:br/>
        <w:t xml:space="preserve">        # 返回包含宝可梦名称、高度和体重的行</w:t>
        <w:br/>
        <w:t xml:space="preserve">        return Row(name=name, height=height, weight=weight)</w:t>
        <w:br/>
        <w:t xml:space="preserve">    # 将输入数据集映射到新的数据集，其中包含增强后的数据</w:t>
        <w:br/>
        <w:t xml:space="preserve">    return pokemonList.rdd.map(make_request_and_enrich).toDF()</w:t>
      </w:r>
    </w:p>
    <w:p>
      <w:pPr>
        <w:pStyle w:val="Heading2"/>
      </w:pPr>
      <w:r>
        <w:rPr>
          <w:rFonts w:ascii="微软雅黑" w:hAnsi="微软雅黑"/>
        </w:rPr>
        <w:t>权限</w:t>
      </w:r>
    </w:p>
    <w:p>
      <w:pPr>
        <w:spacing w:line="360" w:lineRule="auto" w:after="120"/>
      </w:pPr>
      <w:r>
        <w:rPr>
          <w:rFonts w:ascii="微软雅黑" w:hAnsi="微软雅黑"/>
          <w:sz w:val="21"/>
        </w:rPr>
        <w:t>下表概述了配置和运行外部变换所需的权限。</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操作</w:t>
            </w:r>
          </w:p>
        </w:tc>
        <w:tc>
          <w:tcPr>
            <w:tcW w:type="dxa" w:w="4451"/>
          </w:tcPr>
          <w:p>
            <w:pPr>
              <w:spacing w:after="40" w:before="40"/>
            </w:pPr>
            <w:r>
              <w:rPr>
                <w:rFonts w:ascii="微软雅黑" w:hAnsi="微软雅黑"/>
                <w:sz w:val="20"/>
              </w:rPr>
              <w:t>所需权限</w:t>
            </w:r>
          </w:p>
        </w:tc>
      </w:tr>
      <w:tr>
        <w:tc>
          <w:tcPr>
            <w:tcW w:type="dxa" w:w="4451"/>
          </w:tcPr>
          <w:p>
            <w:pPr>
              <w:spacing w:after="40" w:before="40"/>
            </w:pPr>
            <w:r>
              <w:rPr>
                <w:rFonts w:ascii="微软雅黑" w:hAnsi="微软雅黑"/>
                <w:sz w:val="20"/>
              </w:rPr>
              <w:t>允许将源导入到代码中</w:t>
            </w:r>
          </w:p>
        </w:tc>
        <w:tc>
          <w:tcPr>
            <w:tcW w:type="dxa" w:w="4451"/>
          </w:tcPr>
          <w:p>
            <w:pPr>
              <w:spacing w:after="40" w:before="40"/>
            </w:pPr>
            <w:r>
              <w:rPr>
                <w:rFonts w:ascii="微软雅黑" w:hAnsi="微软雅黑"/>
                <w:sz w:val="20"/>
              </w:rPr>
              <w:t>源的`Owner`角色</w:t>
            </w:r>
          </w:p>
        </w:tc>
      </w:tr>
      <w:tr>
        <w:tc>
          <w:tcPr>
            <w:tcW w:type="dxa" w:w="4451"/>
          </w:tcPr>
          <w:p>
            <w:pPr>
              <w:spacing w:after="40" w:before="40"/>
            </w:pPr>
            <w:r>
              <w:rPr>
                <w:rFonts w:ascii="微软雅黑" w:hAnsi="微软雅黑"/>
                <w:sz w:val="20"/>
              </w:rPr>
              <w:t>修改源的导出配置</w:t>
            </w:r>
          </w:p>
        </w:tc>
        <w:tc>
          <w:tcPr>
            <w:tcW w:type="dxa" w:w="4451"/>
          </w:tcPr>
          <w:p>
            <w:pPr>
              <w:spacing w:after="40" w:before="40"/>
            </w:pPr>
            <w:r>
              <w:rPr>
                <w:rFonts w:ascii="微软雅黑" w:hAnsi="微软雅黑"/>
                <w:sz w:val="20"/>
              </w:rPr>
              <w:t>源的`Owner`角色。此外，配置可导出权限标记的用户必须具有从任何组织或他们添加为可安全导出到所选源的安全权限标记中[移除权限标记的权限](/zh/foundry/platform-security-management/manage-markings/#remove-markings)。&lt;/br&gt;&lt;/br&gt; 注意：这在使用外部变换中的Foundry输入时是必需的。</w:t>
            </w:r>
          </w:p>
        </w:tc>
      </w:tr>
      <w:tr>
        <w:tc>
          <w:tcPr>
            <w:tcW w:type="dxa" w:w="4451"/>
          </w:tcPr>
          <w:p>
            <w:pPr>
              <w:spacing w:after="40" w:before="40"/>
            </w:pPr>
            <w:r>
              <w:rPr>
                <w:rFonts w:ascii="微软雅黑" w:hAnsi="微软雅黑"/>
                <w:sz w:val="20"/>
              </w:rPr>
              <w:t>将源导入到存储库</w:t>
            </w:r>
          </w:p>
        </w:tc>
        <w:tc>
          <w:tcPr>
            <w:tcW w:type="dxa" w:w="4451"/>
          </w:tcPr>
          <w:p>
            <w:pPr>
              <w:spacing w:after="40" w:before="40"/>
            </w:pPr>
            <w:r>
              <w:rPr>
                <w:rFonts w:ascii="微软雅黑" w:hAnsi="微软雅黑"/>
                <w:sz w:val="20"/>
              </w:rPr>
              <w:t>源和存储库的`Editor`角色</w:t>
            </w:r>
          </w:p>
        </w:tc>
      </w:tr>
      <w:tr>
        <w:tc>
          <w:tcPr>
            <w:tcW w:type="dxa" w:w="4451"/>
          </w:tcPr>
          <w:p>
            <w:pPr>
              <w:spacing w:after="40" w:before="40"/>
            </w:pPr>
            <w:r>
              <w:rPr>
                <w:rFonts w:ascii="微软雅黑" w:hAnsi="微软雅黑"/>
                <w:sz w:val="20"/>
              </w:rPr>
              <w:t>从存储库取消导入源</w:t>
            </w:r>
          </w:p>
        </w:tc>
        <w:tc>
          <w:tcPr>
            <w:tcW w:type="dxa" w:w="4451"/>
          </w:tcPr>
          <w:p>
            <w:pPr>
              <w:spacing w:after="40" w:before="40"/>
            </w:pPr>
            <w:r>
              <w:rPr>
                <w:rFonts w:ascii="微软雅黑" w:hAnsi="微软雅黑"/>
                <w:sz w:val="20"/>
              </w:rPr>
              <w:t>源的`Editor`角色或存储库的`Editor`角色</w:t>
            </w:r>
          </w:p>
        </w:tc>
      </w:tr>
      <w:tr>
        <w:tc>
          <w:tcPr>
            <w:tcW w:type="dxa" w:w="4451"/>
          </w:tcPr>
          <w:p>
            <w:pPr>
              <w:spacing w:after="40" w:before="40"/>
            </w:pPr>
            <w:r>
              <w:rPr>
                <w:rFonts w:ascii="微软雅黑" w:hAnsi="微软雅黑"/>
                <w:sz w:val="20"/>
              </w:rPr>
              <w:t>搭建导入源的外部变换</w:t>
            </w:r>
          </w:p>
        </w:tc>
        <w:tc>
          <w:tcPr>
            <w:tcW w:type="dxa" w:w="4451"/>
          </w:tcPr>
          <w:p>
            <w:pPr>
              <w:spacing w:after="40" w:before="40"/>
            </w:pPr>
            <w:r>
              <w:rPr>
                <w:rFonts w:ascii="微软雅黑" w:hAnsi="微软雅黑"/>
                <w:sz w:val="20"/>
              </w:rPr>
              <w:t>代码存储库的`Editor`角色</w:t>
            </w:r>
          </w:p>
        </w:tc>
      </w:tr>
    </w:tbl>
    <w:p/>
    <w:p>
      <w:pPr>
        <w:spacing w:line="360" w:lineRule="auto" w:after="120"/>
      </w:pPr>
      <w:r>
        <w:rPr>
          <w:rFonts w:ascii="微软雅黑" w:hAnsi="微软雅黑"/>
          <w:sz w:val="21"/>
        </w:rPr>
        <w:t>当源被导入到代码存储库时，具有代码存储库访问权限的用户可以使用为该源配置的连接详细信息编写自定义代码，包括访问秘密值。</w:t>
      </w:r>
    </w:p>
    <w:p>
      <w:pPr>
        <w:spacing w:line="360" w:lineRule="auto" w:after="120"/>
      </w:pPr>
      <w:r>
        <w:rPr>
          <w:rFonts w:ascii="微软雅黑" w:hAnsi="微软雅黑"/>
          <w:sz w:val="21"/>
        </w:rPr>
        <w:t>这意味着导入源到代码中和授予</w:t>
      </w:r>
      <w:r>
        <w:rPr>
          <w:rFonts w:ascii="Consolas" w:hAnsi="Consolas"/>
          <w:color w:val="B43C3C"/>
          <w:sz w:val="18"/>
        </w:rPr>
        <w:t>Editor</w:t>
      </w:r>
      <w:r>
        <w:rPr>
          <w:rFonts w:ascii="微软雅黑" w:hAnsi="微软雅黑"/>
          <w:sz w:val="21"/>
        </w:rPr>
        <w:t>访问源的能力应被谨慎管理，仅可信用户应被授予源和存储库的访问权限。</w:t>
      </w:r>
    </w:p>
    <w:p>
      <w:pPr>
        <w:pStyle w:val="Heading2"/>
      </w:pPr>
      <w:r>
        <w:rPr>
          <w:rFonts w:ascii="微软雅黑" w:hAnsi="微软雅黑"/>
        </w:rPr>
        <w:t>基于源的和常规外部变换的比较</w:t>
      </w:r>
    </w:p>
    <w:p>
      <w:pPr>
        <w:spacing w:line="360" w:lineRule="auto" w:after="120"/>
      </w:pPr>
      <w:r>
        <w:rPr>
          <w:rFonts w:ascii="微软雅黑" w:hAnsi="微软雅黑"/>
          <w:sz w:val="21"/>
        </w:rPr>
        <w:t>以下是基于源的和常规外部变换之间的一些关键工作流差异：</w:t>
      </w:r>
    </w:p>
    <w:p>
      <w:pPr>
        <w:pStyle w:val="ListBullet"/>
        <w:spacing w:line="360" w:lineRule="auto" w:after="120"/>
      </w:pPr>
      <w:r>
        <w:rPr>
          <w:rFonts w:ascii="微软雅黑" w:hAnsi="微软雅黑"/>
          <w:sz w:val="21"/>
        </w:rPr>
        <w:t>基于源的外部变换的导入源的标签将始终自动显示。以前，仅在信息安全官员切换了在存储库设置中</w:t>
      </w:r>
      <w:r>
        <w:rPr>
          <w:rFonts w:ascii="微软雅黑" w:hAnsi="微软雅黑"/>
          <w:color w:val="0066CC"/>
          <w:sz w:val="21"/>
          <w:u w:val="single"/>
        </w:rPr>
        <w:t>使用外部系统的能力</w:t>
      </w:r>
      <w:r>
        <w:rPr>
          <w:rFonts w:ascii="微软雅黑" w:hAnsi="微软雅黑"/>
          <w:sz w:val="21"/>
        </w:rPr>
        <w:t>之后，才会显示添加出口策略和凭证的标签。</w:t>
      </w:r>
    </w:p>
    <w:p>
      <w:pPr>
        <w:pStyle w:val="ListBullet"/>
        <w:spacing w:line="360" w:lineRule="auto" w:after="120"/>
      </w:pPr>
      <w:r>
        <w:rPr>
          <w:rFonts w:ascii="微软雅黑" w:hAnsi="微软雅黑"/>
          <w:sz w:val="21"/>
        </w:rPr>
        <w:t>允许外部连接和使用输入的设置不再位于存储库设置中。相反，这些设置在每个单独的源上进行控制。</w:t>
      </w:r>
    </w:p>
    <w:p>
      <w:pPr>
        <w:pStyle w:val="ListBullet"/>
        <w:spacing w:line="360" w:lineRule="auto" w:after="120"/>
      </w:pPr>
      <w:r>
        <w:rPr>
          <w:rFonts w:ascii="微软雅黑" w:hAnsi="微软雅黑"/>
          <w:sz w:val="21"/>
        </w:rPr>
        <w:t>凭证、出口政策和可导出权限标记不再在代码中指定。相反，这些设置从导入到变换中的源中获取，并自动应用于任务。</w:t>
      </w:r>
    </w:p>
    <w:p>
      <w:pPr>
        <w:pStyle w:val="ListBullet"/>
        <w:spacing w:line="360" w:lineRule="auto" w:after="120"/>
      </w:pPr>
      <w:r>
        <w:rPr>
          <w:rFonts w:ascii="微软雅黑" w:hAnsi="微软雅黑"/>
          <w:sz w:val="21"/>
        </w:rPr>
        <w:t>如果在源级别更改了这些配置，它将自动被导入该源的变换所捕获，无需任何代码更改或版本升级。这允许凭证、出口和可导出权限标记的集中治理，立即传播到下游工作流中。</w:t>
      </w:r>
    </w:p>
    <w:p>
      <w:pPr>
        <w:pStyle w:val="ListBullet"/>
        <w:spacing w:line="360" w:lineRule="auto" w:after="120"/>
      </w:pPr>
      <w:r>
        <w:rPr>
          <w:rFonts w:ascii="微软雅黑" w:hAnsi="微软雅黑"/>
          <w:sz w:val="21"/>
        </w:rPr>
        <w:t>更改将在搭建开始时生效，不会影响正在运行的搭建。</w:t>
      </w:r>
    </w:p>
    <w:p>
      <w:pPr>
        <w:pStyle w:val="ListBullet"/>
        <w:spacing w:line="360" w:lineRule="auto" w:after="120"/>
      </w:pPr>
      <w:r>
        <w:rPr>
          <w:rFonts w:ascii="微软雅黑" w:hAnsi="微软雅黑"/>
          <w:sz w:val="21"/>
        </w:rPr>
        <w:t>装饰器已从</w:t>
      </w:r>
      <w:r>
        <w:rPr>
          <w:rFonts w:ascii="Consolas" w:hAnsi="Consolas"/>
          <w:color w:val="B43C3C"/>
          <w:sz w:val="18"/>
        </w:rPr>
        <w:t>@use_external_systems()</w:t>
      </w:r>
      <w:r>
        <w:rPr>
          <w:rFonts w:ascii="微软雅黑" w:hAnsi="微软雅黑"/>
          <w:sz w:val="21"/>
        </w:rPr>
        <w:t>更改为</w:t>
      </w:r>
      <w:r>
        <w:rPr>
          <w:rFonts w:ascii="Consolas" w:hAnsi="Consolas"/>
          <w:color w:val="B43C3C"/>
          <w:sz w:val="18"/>
        </w:rPr>
        <w:t>@external_systems()</w:t>
      </w:r>
      <w:r>
        <w:rPr>
          <w:rFonts w:ascii="微软雅黑" w:hAnsi="微软雅黑"/>
          <w:sz w:val="21"/>
        </w:rPr>
        <w:t>。</w:t>
      </w:r>
    </w:p>
    <w:p>
      <w:pPr>
        <w:spacing w:line="360" w:lineRule="auto" w:after="120"/>
      </w:pPr>
      <w:r>
        <w:rPr>
          <w:rFonts w:ascii="微软雅黑" w:hAnsi="微软雅黑"/>
          <w:sz w:val="21"/>
        </w:rPr>
        <w:t>基于源的外部变换的主要优势包括以下内容：</w:t>
      </w:r>
    </w:p>
    <w:p>
      <w:pPr>
        <w:pStyle w:val="ListBullet"/>
        <w:spacing w:line="360" w:lineRule="auto" w:after="120"/>
      </w:pPr>
      <w:r>
        <w:rPr>
          <w:rFonts w:ascii="微软雅黑" w:hAnsi="微软雅黑"/>
          <w:sz w:val="21"/>
        </w:rPr>
        <w:t>支持连接到无法从互联网访问的系统</w:t>
      </w:r>
    </w:p>
    <w:p>
      <w:pPr>
        <w:pStyle w:val="ListBullet"/>
        <w:spacing w:line="360" w:lineRule="auto" w:after="120"/>
      </w:pPr>
      <w:r>
        <w:rPr>
          <w:rFonts w:ascii="微软雅黑" w:hAnsi="微软雅黑"/>
          <w:sz w:val="21"/>
        </w:rPr>
        <w:t>支持旋转/更新凭证而无需代码更改</w:t>
      </w:r>
    </w:p>
    <w:p>
      <w:pPr>
        <w:pStyle w:val="ListBullet"/>
        <w:spacing w:line="360" w:lineRule="auto" w:after="120"/>
      </w:pPr>
      <w:r>
        <w:rPr>
          <w:rFonts w:ascii="微软雅黑" w:hAnsi="微软雅黑"/>
          <w:sz w:val="21"/>
        </w:rPr>
        <w:t>支持在多个存储库之间共享连接配置</w:t>
      </w:r>
    </w:p>
    <w:p>
      <w:pPr>
        <w:pStyle w:val="ListBullet"/>
        <w:spacing w:line="360" w:lineRule="auto" w:after="120"/>
      </w:pPr>
      <w:r>
        <w:rPr>
          <w:rFonts w:ascii="微软雅黑" w:hAnsi="微软雅黑"/>
          <w:sz w:val="21"/>
        </w:rPr>
        <w:t>选定源类型的开箱即用Python客户端</w:t>
      </w:r>
    </w:p>
    <w:p>
      <w:pPr>
        <w:pStyle w:val="ListBullet"/>
        <w:spacing w:line="360" w:lineRule="auto" w:after="120"/>
      </w:pPr>
      <w:r>
        <w:rPr>
          <w:rFonts w:ascii="微软雅黑" w:hAnsi="微软雅黑"/>
          <w:sz w:val="21"/>
        </w:rPr>
        <w:t>改进和简化的治理工作流，用于启用和管理外部变换存储库</w:t>
      </w:r>
    </w:p>
    <w:p>
      <w:pPr>
        <w:pStyle w:val="ListBullet"/>
        <w:spacing w:line="360" w:lineRule="auto" w:after="120"/>
      </w:pPr>
      <w:r>
        <w:rPr>
          <w:rFonts w:ascii="微软雅黑" w:hAnsi="微软雅黑"/>
          <w:sz w:val="21"/>
        </w:rPr>
        <w:t>在</w:t>
      </w:r>
      <w:r>
        <w:rPr>
          <w:rFonts w:ascii="微软雅黑" w:hAnsi="微软雅黑"/>
          <w:color w:val="0066CC"/>
          <w:sz w:val="21"/>
          <w:u w:val="single"/>
        </w:rPr>
        <w:t>数据沿袭</w:t>
      </w:r>
      <w:r>
        <w:rPr>
          <w:rFonts w:ascii="微软雅黑" w:hAnsi="微软雅黑"/>
          <w:sz w:val="21"/>
        </w:rPr>
        <w:t>中可视化连接到外部源的外部变换</w:t>
      </w:r>
    </w:p>
    <w:p>
      <w:pPr>
        <w:pStyle w:val="Heading2"/>
      </w:pPr>
      <w:r>
        <w:rPr>
          <w:rFonts w:ascii="微软雅黑" w:hAnsi="微软雅黑"/>
        </w:rPr>
        <w:t>迁移到基于源的外部变换</w:t>
      </w:r>
    </w:p>
    <w:p>
      <w:pPr>
        <w:spacing w:line="360" w:lineRule="auto" w:after="120"/>
      </w:pPr>
      <w:r>
        <w:rPr>
          <w:rFonts w:ascii="微软雅黑" w:hAnsi="微软雅黑"/>
          <w:sz w:val="21"/>
        </w:rPr>
        <w:t>目前没有自动迁移路径将外部变换更新为基于源的外部变换。然而，大多数工作流所需的手动操作预计是最小的。</w:t>
      </w:r>
    </w:p>
    <w:p>
      <w:pPr>
        <w:spacing w:line="360" w:lineRule="auto" w:after="120"/>
      </w:pPr>
      <w:r>
        <w:rPr>
          <w:rFonts w:ascii="微软雅黑" w:hAnsi="微软雅黑"/>
          <w:sz w:val="21"/>
        </w:rPr>
        <w:t>以下是手动迁移到基于源的外部变换的主要步骤：</w:t>
      </w:r>
    </w:p>
    <w:p>
      <w:pPr>
        <w:pStyle w:val="ListNumber"/>
        <w:spacing w:line="360" w:lineRule="auto" w:after="120"/>
      </w:pPr>
      <w:r>
        <w:rPr>
          <w:rFonts w:ascii="微软雅黑" w:hAnsi="微软雅黑"/>
          <w:sz w:val="21"/>
        </w:rPr>
        <w:t>确定在现有外部变换代码中使用的凭证、出口政策和出口控制权限标记集合</w:t>
      </w:r>
    </w:p>
    <w:p>
      <w:pPr>
        <w:pStyle w:val="ListNumber"/>
        <w:spacing w:line="360" w:lineRule="auto" w:after="120"/>
      </w:pPr>
      <w:r>
        <w:rPr>
          <w:rFonts w:ascii="微软雅黑" w:hAnsi="微软雅黑"/>
          <w:sz w:val="21"/>
        </w:rPr>
        <w:t>确定或配置数据连接源，这些源连接到您希望从外部变换中连接的系统。确保这些源配置为允许导入到代码中。</w:t>
      </w:r>
    </w:p>
    <w:p>
      <w:pPr>
        <w:pStyle w:val="ListNumber"/>
        <w:spacing w:line="360" w:lineRule="auto" w:after="120"/>
      </w:pPr>
      <w:r>
        <w:rPr>
          <w:rFonts w:ascii="微软雅黑" w:hAnsi="微软雅黑"/>
          <w:sz w:val="21"/>
        </w:rPr>
        <w:t>将步骤2中的相关源导入到现有的Python变换存储库中。</w:t>
      </w:r>
    </w:p>
    <w:p>
      <w:pPr>
        <w:pStyle w:val="ListNumber"/>
        <w:spacing w:line="360" w:lineRule="auto" w:after="120"/>
      </w:pPr>
      <w:r>
        <w:rPr>
          <w:rFonts w:ascii="微软雅黑" w:hAnsi="微软雅黑"/>
          <w:sz w:val="21"/>
        </w:rPr>
        <w:t>更改您的代码以导入和使用带有源引用的新</w:t>
      </w:r>
      <w:r>
        <w:rPr>
          <w:rFonts w:ascii="Consolas" w:hAnsi="Consolas"/>
          <w:color w:val="B43C3C"/>
          <w:sz w:val="18"/>
        </w:rPr>
        <w:t>@external_systems()</w:t>
      </w:r>
      <w:r>
        <w:rPr>
          <w:rFonts w:ascii="微软雅黑" w:hAnsi="微软雅黑"/>
          <w:sz w:val="21"/>
        </w:rPr>
        <w:t>装饰器，然后移除任何</w:t>
      </w:r>
      <w:r>
        <w:rPr>
          <w:rFonts w:ascii="Consolas" w:hAnsi="Consolas"/>
          <w:color w:val="B43C3C"/>
          <w:sz w:val="18"/>
        </w:rPr>
        <w:t>@use_external_systems()</w:t>
      </w:r>
      <w:r>
        <w:rPr>
          <w:rFonts w:ascii="微软雅黑" w:hAnsi="微软雅黑"/>
          <w:sz w:val="21"/>
        </w:rPr>
        <w:t>装饰器的实例。这可能涉及更新变换逻辑中对凭证的任何引用，以改为引用从现在导入的源中检索到的凭证。</w:t>
      </w:r>
    </w:p>
    <w:p>
      <w:pPr>
        <w:pStyle w:val="ListNumber"/>
        <w:spacing w:line="360" w:lineRule="auto" w:after="120"/>
      </w:pPr>
      <w:r>
        <w:rPr>
          <w:rFonts w:ascii="微软雅黑" w:hAnsi="微软雅黑"/>
          <w:sz w:val="21"/>
        </w:rPr>
        <w:t>在分支上测试您的更改，以确保您的变换继续成功搭建。</w:t>
      </w:r>
    </w:p>
    <w:p>
      <w:pPr>
        <w:pStyle w:val="ListNumber"/>
        <w:spacing w:line="360" w:lineRule="auto" w:after="120"/>
      </w:pPr>
      <w:r>
        <w:rPr>
          <w:rFonts w:ascii="微软雅黑" w:hAnsi="微软雅黑"/>
          <w:sz w:val="21"/>
        </w:rPr>
        <w:t>合并更新后的变换代码后，您现在可以取消切换</w:t>
      </w:r>
      <w:r>
        <w:rPr>
          <w:rFonts w:ascii="微软雅黑" w:hAnsi="微软雅黑"/>
          <w:color w:val="0066CC"/>
          <w:sz w:val="21"/>
          <w:u w:val="single"/>
        </w:rPr>
        <w:t>存储库设置</w:t>
      </w:r>
      <w:r>
        <w:rPr>
          <w:rFonts w:ascii="微软雅黑" w:hAnsi="微软雅黑"/>
          <w:sz w:val="21"/>
        </w:rPr>
        <w:t>。</w:t>
      </w:r>
    </w:p>
    <w:p>
      <w:pPr>
        <w:pStyle w:val="Heading2"/>
      </w:pPr>
      <w:r>
        <w:rPr>
          <w:rFonts w:ascii="微软雅黑" w:hAnsi="微软雅黑"/>
        </w:rPr>
        <w:t>`轻量级`基于源的外部变换</w:t>
      </w:r>
    </w:p>
    <w:p>
      <w:pPr>
        <w:spacing w:line="360" w:lineRule="auto" w:after="120"/>
      </w:pPr>
      <w:r>
        <w:rPr>
          <w:rFonts w:ascii="微软雅黑" w:hAnsi="微软雅黑"/>
          <w:sz w:val="21"/>
        </w:rPr>
        <w:t>基于源的外部变换兼容</w:t>
      </w:r>
      <w:r>
        <w:rPr>
          <w:rFonts w:ascii="微软雅黑" w:hAnsi="微软雅黑"/>
          <w:color w:val="0066CC"/>
          <w:sz w:val="21"/>
          <w:u w:val="single"/>
        </w:rPr>
        <w:t>`@lightweight`</w:t>
      </w:r>
      <w:r>
        <w:rPr>
          <w:rFonts w:ascii="微软雅黑" w:hAnsi="微软雅黑"/>
          <w:sz w:val="21"/>
        </w:rPr>
        <w:t>装饰器。使用此装饰器可以显著提高在小型和中型数据上运行的变换的执行速度。</w:t>
      </w:r>
    </w:p>
    <w:p>
      <w:pPr>
        <w:spacing w:line="360" w:lineRule="auto" w:after="120"/>
      </w:pPr>
      <w:r>
        <w:rPr>
          <w:rFonts w:ascii="微软雅黑" w:hAnsi="微软雅黑"/>
          <w:sz w:val="21"/>
        </w:rPr>
        <w:t>以下示例显示了如何将</w:t>
      </w:r>
      <w:r>
        <w:rPr>
          <w:rFonts w:ascii="Consolas" w:hAnsi="Consolas"/>
          <w:color w:val="B43C3C"/>
          <w:sz w:val="18"/>
        </w:rPr>
        <w:t>@lightweight</w:t>
      </w:r>
      <w:r>
        <w:rPr>
          <w:rFonts w:ascii="微软雅黑" w:hAnsi="微软雅黑"/>
          <w:sz w:val="21"/>
        </w:rPr>
        <w:t>装饰器与</w:t>
      </w:r>
      <w:r>
        <w:rPr>
          <w:rFonts w:ascii="Consolas" w:hAnsi="Consolas"/>
          <w:color w:val="B43C3C"/>
          <w:sz w:val="18"/>
        </w:rPr>
        <w:t>@external_systems</w:t>
      </w:r>
      <w:r>
        <w:rPr>
          <w:rFonts w:ascii="微软雅黑" w:hAnsi="微软雅黑"/>
          <w:sz w:val="21"/>
        </w:rPr>
        <w:t>装饰器一起添加到变换中。有关配置轻量级变换的选项的更多信息，请参见</w:t>
      </w:r>
      <w:r>
        <w:rPr>
          <w:rFonts w:ascii="微软雅黑" w:hAnsi="微软雅黑"/>
          <w:color w:val="0066CC"/>
          <w:sz w:val="21"/>
          <w:u w:val="single"/>
        </w:rPr>
        <w:t>轻量级变换文档</w:t>
      </w:r>
      <w:r>
        <w:rPr>
          <w:rFonts w:ascii="微软雅黑" w:hAnsi="微软雅黑"/>
          <w:sz w:val="21"/>
        </w:rPr>
        <w:t>。</w:t>
      </w:r>
    </w:p>
    <w:p>
      <w:pPr>
        <w:spacing w:before="80" w:after="80"/>
        <w:ind w:left="567"/>
      </w:pPr>
      <w:r>
        <w:rPr>
          <w:rFonts w:ascii="Consolas" w:hAnsi="Consolas"/>
          <w:color w:val="505050"/>
          <w:sz w:val="18"/>
        </w:rPr>
        <w:t>@lightweight</w:t>
        <w:br/>
        <w:t>@external_systems(</w:t>
        <w:br/>
        <w:t xml:space="preserve">    pokeSource=Source("ri.magritte..source.e301d738-b532-431a-8bda-fa211228bba6")</w:t>
        <w:br/>
        <w:t>)</w:t>
        <w:br/>
        <w:t># 该代码片段使用了两个装饰器：@lightweight 和 @external_systems。</w:t>
        <w:br/>
        <w:t># @lightweight 通常用于指示该函数或方法是轻量级的，可能在资源消耗上较低。</w:t>
        <w:br/>
        <w:t># @external_systems 装饰器用于定义与外部系统的交互。在这个例子中，它指定了一个名为 pokeSource 的外部资源。</w:t>
        <w:br/>
        <w:t># Source("ri.magritte..source.e301d738-b532-431a-8bda-fa211228bba6") 是该外部资源的标识符。</w:t>
      </w:r>
    </w:p>
    <w:p>
      <w:r>
        <w:br w:type="page"/>
      </w:r>
    </w:p>
    <w:p>
      <w:pPr>
        <w:pStyle w:val="Heading1"/>
      </w:pPr>
      <w:r>
        <w:rPr>
          <w:rFonts w:ascii="微软雅黑" w:hAnsi="微软雅黑"/>
        </w:rPr>
        <w:t>外部变换</w:t>
      </w:r>
    </w:p>
    <w:p>
      <w:pPr>
        <w:spacing w:line="360" w:lineRule="auto" w:after="120"/>
      </w:pPr>
      <w:r>
        <w:rPr>
          <w:rFonts w:ascii="微软雅黑" w:hAnsi="微软雅黑"/>
          <w:sz w:val="21"/>
        </w:rPr>
        <w:t># 外部变换</w:t>
      </w:r>
    </w:p>
    <w:p>
      <w:pPr>
        <w:spacing w:line="360" w:lineRule="auto" w:after="120"/>
      </w:pPr>
      <w:r>
        <w:rPr>
          <w:rFonts w:ascii="微软雅黑" w:hAnsi="微软雅黑"/>
          <w:sz w:val="21"/>
        </w:rPr>
        <w:t>外部变换允许直接引用出口策略、凭据值和出口控制权限标记。新的基于源的外部变换主要通过导入包含这些设置的数据连接源，将其作为单一资源来工作。</w:t>
      </w:r>
    </w:p>
    <w:p>
      <w:pPr>
        <w:spacing w:line="360" w:lineRule="auto" w:after="120"/>
      </w:pPr>
      <w:r>
        <w:rPr>
          <w:rFonts w:ascii="微软雅黑" w:hAnsi="微软雅黑"/>
          <w:sz w:val="21"/>
        </w:rPr>
        <w:t>基于源的外部变换的主要优势包括支持以下功能：</w:t>
      </w:r>
    </w:p>
    <w:p>
      <w:pPr>
        <w:pStyle w:val="ListBullet"/>
        <w:spacing w:line="360" w:lineRule="auto" w:after="120"/>
      </w:pPr>
      <w:r>
        <w:rPr>
          <w:rFonts w:ascii="微软雅黑" w:hAnsi="微软雅黑"/>
          <w:sz w:val="21"/>
        </w:rPr>
        <w:t>连接到无法从互联网访问的系统。</w:t>
      </w:r>
    </w:p>
    <w:p>
      <w:pPr>
        <w:pStyle w:val="ListBullet"/>
        <w:spacing w:line="360" w:lineRule="auto" w:after="120"/>
      </w:pPr>
      <w:r>
        <w:rPr>
          <w:rFonts w:ascii="微软雅黑" w:hAnsi="微软雅黑"/>
          <w:sz w:val="21"/>
        </w:rPr>
        <w:t>旋转/更新凭据而无需代码更改。</w:t>
      </w:r>
    </w:p>
    <w:p>
      <w:pPr>
        <w:pStyle w:val="ListBullet"/>
        <w:spacing w:line="360" w:lineRule="auto" w:after="120"/>
      </w:pPr>
      <w:r>
        <w:rPr>
          <w:rFonts w:ascii="微软雅黑" w:hAnsi="微软雅黑"/>
          <w:sz w:val="21"/>
        </w:rPr>
        <w:t>在多个存储库之间共享连接配置。</w:t>
      </w:r>
    </w:p>
    <w:p>
      <w:pPr>
        <w:pStyle w:val="ListBullet"/>
        <w:spacing w:line="360" w:lineRule="auto" w:after="120"/>
      </w:pPr>
      <w:r>
        <w:rPr>
          <w:rFonts w:ascii="微软雅黑" w:hAnsi="微软雅黑"/>
          <w:sz w:val="21"/>
        </w:rPr>
        <w:t>针对选定源类型的开箱即用Python客户端。</w:t>
      </w:r>
    </w:p>
    <w:p>
      <w:pPr>
        <w:pStyle w:val="ListBullet"/>
        <w:spacing w:line="360" w:lineRule="auto" w:after="120"/>
      </w:pPr>
      <w:r>
        <w:rPr>
          <w:rFonts w:ascii="微软雅黑" w:hAnsi="微软雅黑"/>
          <w:sz w:val="21"/>
        </w:rPr>
        <w:t>改进和简化的治理工作流程，用于启用和管理外部变换存储库。</w:t>
      </w:r>
    </w:p>
    <w:p>
      <w:pPr>
        <w:pStyle w:val="ListBullet"/>
        <w:spacing w:line="360" w:lineRule="auto" w:after="120"/>
      </w:pPr>
      <w:r>
        <w:rPr>
          <w:rFonts w:ascii="微软雅黑" w:hAnsi="微软雅黑"/>
          <w:sz w:val="21"/>
        </w:rPr>
        <w:t>在数据沿袭中可视化连接到外部源的外部变换。</w:t>
      </w:r>
    </w:p>
    <w:p>
      <w:pPr>
        <w:spacing w:line="360" w:lineRule="auto" w:after="120"/>
      </w:pPr>
      <w:r>
        <w:rPr>
          <w:rFonts w:ascii="微软雅黑" w:hAnsi="微软雅黑"/>
          <w:sz w:val="21"/>
        </w:rPr>
        <w:t>查看我们的</w:t>
      </w:r>
      <w:r>
        <w:rPr>
          <w:rFonts w:ascii="微软雅黑" w:hAnsi="微软雅黑"/>
          <w:color w:val="0066CC"/>
          <w:sz w:val="21"/>
          <w:u w:val="single"/>
        </w:rPr>
        <w:t>文档</w:t>
      </w:r>
      <w:r>
        <w:rPr>
          <w:rFonts w:ascii="微软雅黑" w:hAnsi="微软雅黑"/>
          <w:sz w:val="21"/>
        </w:rPr>
        <w:t>以获取有关使用基于源的外部变换的更多信息。</w:t>
      </w:r>
    </w:p>
    <w:p>
      <w:pPr>
        <w:spacing w:line="360" w:lineRule="auto" w:after="120"/>
      </w:pPr>
      <w:r>
        <w:rPr>
          <w:rFonts w:ascii="微软雅黑" w:hAnsi="微软雅黑"/>
          <w:sz w:val="21"/>
        </w:rPr>
        <w:t>您可以在代码存储库中使用Python变换直接在代码中连接到外部系统。例如，当您需要复杂的逻辑来与外部系统交互或想要使用第三方提供的软件开发工具包（SDK）时，这可能会很有用。我们建议使用外部变换通过REST API执行计划的同步和导出。</w:t>
      </w:r>
    </w:p>
    <w:p>
      <w:pPr>
        <w:spacing w:line="360" w:lineRule="auto" w:after="120"/>
      </w:pPr>
      <w:r>
        <w:rPr>
          <w:rFonts w:ascii="微软雅黑" w:hAnsi="微软雅黑"/>
          <w:sz w:val="21"/>
        </w:rPr>
        <w:t>在继续之前，请确保创建一个</w:t>
      </w:r>
      <w:r>
        <w:rPr>
          <w:rFonts w:ascii="微软雅黑" w:hAnsi="微软雅黑"/>
          <w:color w:val="0066CC"/>
          <w:sz w:val="21"/>
          <w:u w:val="single"/>
        </w:rPr>
        <w:t>Python变换代码存储库</w:t>
      </w:r>
      <w:r>
        <w:rPr>
          <w:rFonts w:ascii="微软雅黑" w:hAnsi="微软雅黑"/>
          <w:sz w:val="21"/>
        </w:rPr>
        <w:t>并按照以下说明进行配置。</w:t>
      </w:r>
    </w:p>
    <w:p>
      <w:pPr>
        <w:spacing w:line="360" w:lineRule="auto" w:after="120"/>
      </w:pPr>
      <w:r>
        <w:rPr>
          <w:rFonts w:ascii="微软雅黑" w:hAnsi="微软雅黑"/>
          <w:sz w:val="21"/>
        </w:rPr>
        <w:t>连接到外部系统的变换只能在代码存储库中的预览助手中预览，前提是它们不使用Foundry输入。</w:t>
      </w:r>
    </w:p>
    <w:p>
      <w:pPr>
        <w:pStyle w:val="Heading2"/>
      </w:pPr>
      <w:r>
        <w:rPr>
          <w:rFonts w:ascii="微软雅黑" w:hAnsi="微软雅黑"/>
        </w:rPr>
        <w:t>允许代码存储库设置外部连接</w:t>
      </w:r>
    </w:p>
    <w:p>
      <w:pPr>
        <w:spacing w:line="360" w:lineRule="auto" w:after="120"/>
      </w:pPr>
      <w:r>
        <w:rPr>
          <w:rFonts w:ascii="微软雅黑" w:hAnsi="微软雅黑"/>
          <w:sz w:val="21"/>
        </w:rPr>
        <w:t>本节介绍使用外部变换所需的配置。</w:t>
      </w:r>
    </w:p>
    <w:p>
      <w:pPr>
        <w:spacing w:line="360" w:lineRule="auto" w:after="120"/>
      </w:pPr>
      <w:r>
        <w:rPr>
          <w:rFonts w:ascii="微软雅黑" w:hAnsi="微软雅黑"/>
          <w:sz w:val="21"/>
        </w:rPr>
        <w:t>外部变换仅可用于在</w:t>
      </w:r>
      <w:r>
        <w:rPr>
          <w:rFonts w:ascii="微软雅黑" w:hAnsi="微软雅黑"/>
          <w:b/>
          <w:sz w:val="21"/>
        </w:rPr>
        <w:t>SECURE</w:t>
      </w:r>
      <w:r>
        <w:rPr>
          <w:rFonts w:ascii="微软雅黑" w:hAnsi="微软雅黑"/>
          <w:sz w:val="21"/>
        </w:rPr>
        <w:t>模式下运行的存储库。其他安全模式仅可通过与您的Palantir代表联系获得。</w:t>
      </w:r>
    </w:p>
    <w:p>
      <w:pPr>
        <w:pStyle w:val="Heading3"/>
      </w:pPr>
      <w:r>
        <w:rPr>
          <w:rFonts w:ascii="微软雅黑" w:hAnsi="微软雅黑"/>
        </w:rPr>
        <w:t>启用外部系统交互</w:t>
      </w:r>
    </w:p>
    <w:p>
      <w:pPr>
        <w:spacing w:line="360" w:lineRule="auto" w:after="120"/>
      </w:pPr>
      <w:r>
        <w:rPr>
          <w:rFonts w:ascii="微软雅黑" w:hAnsi="微软雅黑"/>
          <w:sz w:val="21"/>
        </w:rPr>
        <w:t>在您刚刚创建的代码存储库中，具有</w:t>
      </w:r>
      <w:r>
        <w:rPr>
          <w:rFonts w:ascii="Consolas" w:hAnsi="Consolas"/>
          <w:color w:val="B43C3C"/>
          <w:sz w:val="18"/>
        </w:rPr>
        <w:t>信息安全官</w:t>
      </w:r>
      <w:r>
        <w:rPr>
          <w:rFonts w:ascii="微软雅黑" w:hAnsi="微软雅黑"/>
          <w:sz w:val="21"/>
        </w:rPr>
        <w:t>角色的Foundry用户应导航到</w:t>
      </w:r>
      <w:r>
        <w:rPr>
          <w:rFonts w:ascii="微软雅黑" w:hAnsi="微软雅黑"/>
          <w:color w:val="0066CC"/>
          <w:sz w:val="21"/>
          <w:u w:val="single"/>
        </w:rPr>
        <w:t>存储库**设置**</w:t>
      </w:r>
      <w:r>
        <w:rPr>
          <w:rFonts w:ascii="微软雅黑" w:hAnsi="微软雅黑"/>
          <w:sz w:val="21"/>
        </w:rPr>
        <w:t>选项卡，然后导航到</w:t>
      </w:r>
      <w:r>
        <w:rPr>
          <w:rFonts w:ascii="微软雅黑" w:hAnsi="微软雅黑"/>
          <w:b/>
          <w:sz w:val="21"/>
        </w:rPr>
        <w:t>存储库 &gt; 外部系统</w:t>
      </w:r>
      <w:r>
        <w:rPr>
          <w:rFonts w:ascii="微软雅黑" w:hAnsi="微软雅黑"/>
          <w:sz w:val="21"/>
        </w:rPr>
        <w:t>以切换打开</w:t>
      </w:r>
      <w:r>
        <w:rPr>
          <w:rFonts w:ascii="微软雅黑" w:hAnsi="微软雅黑"/>
          <w:b/>
          <w:sz w:val="21"/>
        </w:rPr>
        <w:t>允许从此存储库访问外部系统</w:t>
      </w:r>
      <w:r>
        <w:rPr>
          <w:rFonts w:ascii="微软雅黑" w:hAnsi="微软雅黑"/>
          <w:sz w:val="21"/>
        </w:rPr>
        <w:t>的选项。</w:t>
      </w:r>
    </w:p>
    <w:p>
      <w:pPr>
        <w:spacing w:line="360" w:lineRule="auto" w:after="120"/>
      </w:pPr>
      <w:r>
        <w:rPr>
          <w:rFonts w:ascii="Consolas" w:hAnsi="Consolas"/>
          <w:color w:val="B43C3C"/>
          <w:sz w:val="18"/>
        </w:rPr>
        <w:t>信息安全官</w:t>
      </w:r>
      <w:r>
        <w:rPr>
          <w:rFonts w:ascii="微软雅黑" w:hAnsi="微软雅黑"/>
          <w:sz w:val="21"/>
        </w:rPr>
        <w:t>是Foundry中的默认角色；用户可以在</w:t>
      </w:r>
      <w:r>
        <w:rPr>
          <w:rFonts w:ascii="微软雅黑" w:hAnsi="微软雅黑"/>
          <w:color w:val="0066CC"/>
          <w:sz w:val="21"/>
          <w:u w:val="single"/>
        </w:rPr>
        <w:t>控制面板</w:t>
      </w:r>
      <w:r>
        <w:rPr>
          <w:rFonts w:ascii="微软雅黑" w:hAnsi="微软雅黑"/>
          <w:sz w:val="21"/>
        </w:rPr>
        <w:t>的</w:t>
      </w:r>
      <w:r>
        <w:rPr>
          <w:rFonts w:ascii="微软雅黑" w:hAnsi="微软雅黑"/>
          <w:b/>
          <w:sz w:val="21"/>
        </w:rPr>
        <w:t>注册权限</w:t>
      </w:r>
      <w:r>
        <w:rPr>
          <w:rFonts w:ascii="微软雅黑" w:hAnsi="微软雅黑"/>
          <w:sz w:val="21"/>
        </w:rPr>
        <w:t>下被授予</w:t>
      </w:r>
      <w:r>
        <w:rPr>
          <w:rFonts w:ascii="Consolas" w:hAnsi="Consolas"/>
          <w:color w:val="B43C3C"/>
          <w:sz w:val="18"/>
        </w:rPr>
        <w:t>信息安全官</w:t>
      </w:r>
      <w:r>
        <w:rPr>
          <w:rFonts w:ascii="微软雅黑" w:hAnsi="微软雅黑"/>
          <w:sz w:val="21"/>
        </w:rPr>
        <w:t>角色。</w:t>
      </w:r>
    </w:p>
    <w:p>
      <w:pPr>
        <w:spacing w:after="40"/>
        <w:jc w:val="center"/>
      </w:pPr>
      <w:r>
        <w:rPr>
          <w:i/>
          <w:color w:val="646464"/>
          <w:sz w:val="18"/>
        </w:rPr>
        <w:t>图：启用外部系统交互</w:t>
      </w:r>
    </w:p>
    <w:p>
      <w:pPr>
        <w:spacing w:before="120" w:after="240"/>
        <w:jc w:val="center"/>
      </w:pPr>
      <w:r>
        <w:drawing>
          <wp:inline xmlns:a="http://schemas.openxmlformats.org/drawingml/2006/main" xmlns:pic="http://schemas.openxmlformats.org/drawingml/2006/picture">
            <wp:extent cx="5029200" cy="1670326"/>
            <wp:docPr id="33" name="Picture 33"/>
            <wp:cNvGraphicFramePr>
              <a:graphicFrameLocks noChangeAspect="1"/>
            </wp:cNvGraphicFramePr>
            <a:graphic>
              <a:graphicData uri="http://schemas.openxmlformats.org/drawingml/2006/picture">
                <pic:pic>
                  <pic:nvPicPr>
                    <pic:cNvPr id="0" name="external-transforms-enable.png"/>
                    <pic:cNvPicPr/>
                  </pic:nvPicPr>
                  <pic:blipFill>
                    <a:blip r:embed="rId40"/>
                    <a:stretch>
                      <a:fillRect/>
                    </a:stretch>
                  </pic:blipFill>
                  <pic:spPr>
                    <a:xfrm>
                      <a:off x="0" y="0"/>
                      <a:ext cx="5029200" cy="1670326"/>
                    </a:xfrm>
                    <a:prstGeom prst="rect"/>
                  </pic:spPr>
                </pic:pic>
              </a:graphicData>
            </a:graphic>
          </wp:inline>
        </w:drawing>
      </w:r>
    </w:p>
    <w:p>
      <w:pPr>
        <w:pStyle w:val="Heading3"/>
      </w:pPr>
      <w:r>
        <w:rPr>
          <w:rFonts w:ascii="微软雅黑" w:hAnsi="微软雅黑"/>
        </w:rPr>
        <w:t>启用数据集输入</w:t>
      </w:r>
    </w:p>
    <w:p>
      <w:pPr>
        <w:spacing w:line="360" w:lineRule="auto" w:after="120"/>
      </w:pPr>
      <w:r>
        <w:rPr>
          <w:rFonts w:ascii="微软雅黑" w:hAnsi="微软雅黑"/>
          <w:sz w:val="21"/>
        </w:rPr>
        <w:t>具有</w:t>
      </w:r>
      <w:r>
        <w:rPr>
          <w:rFonts w:ascii="Consolas" w:hAnsi="Consolas"/>
          <w:color w:val="B43C3C"/>
          <w:sz w:val="18"/>
        </w:rPr>
        <w:t>信息安全官</w:t>
      </w:r>
      <w:r>
        <w:rPr>
          <w:rFonts w:ascii="微软雅黑" w:hAnsi="微软雅黑"/>
          <w:sz w:val="21"/>
        </w:rPr>
        <w:t>角色的Foundry用户可以选择允许在外部变换中使用输入。</w:t>
      </w:r>
    </w:p>
    <w:p>
      <w:pPr>
        <w:spacing w:line="360" w:lineRule="auto" w:after="120"/>
      </w:pPr>
      <w:r>
        <w:rPr>
          <w:rFonts w:ascii="微软雅黑" w:hAnsi="微软雅黑"/>
          <w:sz w:val="21"/>
        </w:rPr>
        <w:t>当数据集用作可以与外部系统通信的变换的输入时，该数据集中的任何数据都有可能离开Foundry。具有</w:t>
      </w:r>
      <w:r>
        <w:rPr>
          <w:rFonts w:ascii="Consolas" w:hAnsi="Consolas"/>
          <w:color w:val="B43C3C"/>
          <w:sz w:val="18"/>
        </w:rPr>
        <w:t>信息安全官</w:t>
      </w:r>
      <w:r>
        <w:rPr>
          <w:rFonts w:ascii="微软雅黑" w:hAnsi="微软雅黑"/>
          <w:sz w:val="21"/>
        </w:rPr>
        <w:t>角色的Foundry用户应为任何应允许作为此存储库中外部变换输入的数据选择一组安全权限标记和组织权限标记。</w:t>
      </w:r>
    </w:p>
    <w:p>
      <w:pPr>
        <w:spacing w:line="360" w:lineRule="auto" w:after="120"/>
      </w:pPr>
      <w:r>
        <w:rPr>
          <w:rFonts w:ascii="微软雅黑" w:hAnsi="微软雅黑"/>
          <w:sz w:val="21"/>
        </w:rPr>
        <w:t>例如，您可能有一个在</w:t>
      </w:r>
      <w:r>
        <w:rPr>
          <w:rFonts w:ascii="微软雅黑" w:hAnsi="微软雅黑"/>
          <w:b/>
          <w:sz w:val="21"/>
        </w:rPr>
        <w:t>Palantir</w:t>
      </w:r>
      <w:r>
        <w:rPr>
          <w:rFonts w:ascii="微软雅黑" w:hAnsi="微软雅黑"/>
          <w:sz w:val="21"/>
        </w:rPr>
        <w:t>组织中具有</w:t>
      </w:r>
      <w:r>
        <w:rPr>
          <w:rFonts w:ascii="微软雅黑" w:hAnsi="微软雅黑"/>
          <w:b/>
          <w:sz w:val="21"/>
        </w:rPr>
        <w:t>敏感</w:t>
      </w:r>
      <w:r>
        <w:rPr>
          <w:rFonts w:ascii="微软雅黑" w:hAnsi="微软雅黑"/>
          <w:sz w:val="21"/>
        </w:rPr>
        <w:t>权限标记的数据集。要在外部变换中使用此数据集，信息安全官必须在代码存储库设置的步骤三</w:t>
      </w:r>
      <w:r>
        <w:rPr>
          <w:rFonts w:ascii="微软雅黑" w:hAnsi="微软雅黑"/>
          <w:b/>
          <w:sz w:val="21"/>
        </w:rPr>
        <w:t>配置Foundry输入与外部系统的使用</w:t>
      </w:r>
      <w:r>
        <w:rPr>
          <w:rFonts w:ascii="微软雅黑" w:hAnsi="微软雅黑"/>
          <w:sz w:val="21"/>
        </w:rPr>
        <w:t>中添加</w:t>
      </w:r>
      <w:r>
        <w:rPr>
          <w:rFonts w:ascii="微软雅黑" w:hAnsi="微软雅黑"/>
          <w:b/>
          <w:sz w:val="21"/>
        </w:rPr>
        <w:t>敏感</w:t>
      </w:r>
      <w:r>
        <w:rPr>
          <w:rFonts w:ascii="微软雅黑" w:hAnsi="微软雅黑"/>
          <w:sz w:val="21"/>
        </w:rPr>
        <w:t>权限标记和</w:t>
      </w:r>
      <w:r>
        <w:rPr>
          <w:rFonts w:ascii="微软雅黑" w:hAnsi="微软雅黑"/>
          <w:b/>
          <w:sz w:val="21"/>
        </w:rPr>
        <w:t>Palantir</w:t>
      </w:r>
      <w:r>
        <w:rPr>
          <w:rFonts w:ascii="微软雅黑" w:hAnsi="微软雅黑"/>
          <w:sz w:val="21"/>
        </w:rPr>
        <w:t>组织。</w:t>
      </w:r>
    </w:p>
    <w:p>
      <w:pPr>
        <w:spacing w:after="40"/>
        <w:jc w:val="center"/>
      </w:pPr>
      <w:r>
        <w:rPr>
          <w:i/>
          <w:color w:val="646464"/>
          <w:sz w:val="18"/>
        </w:rPr>
        <w:t>图：启用带输入的外部系统交互</w:t>
      </w:r>
    </w:p>
    <w:p>
      <w:pPr>
        <w:spacing w:before="120" w:after="240"/>
        <w:jc w:val="center"/>
      </w:pPr>
      <w:r>
        <w:drawing>
          <wp:inline xmlns:a="http://schemas.openxmlformats.org/drawingml/2006/main" xmlns:pic="http://schemas.openxmlformats.org/drawingml/2006/picture">
            <wp:extent cx="5029200" cy="2957290"/>
            <wp:docPr id="34" name="Picture 34"/>
            <wp:cNvGraphicFramePr>
              <a:graphicFrameLocks noChangeAspect="1"/>
            </wp:cNvGraphicFramePr>
            <a:graphic>
              <a:graphicData uri="http://schemas.openxmlformats.org/drawingml/2006/picture">
                <pic:pic>
                  <pic:nvPicPr>
                    <pic:cNvPr id="0" name="external-transforms-enable-inputs.png"/>
                    <pic:cNvPicPr/>
                  </pic:nvPicPr>
                  <pic:blipFill>
                    <a:blip r:embed="rId41"/>
                    <a:stretch>
                      <a:fillRect/>
                    </a:stretch>
                  </pic:blipFill>
                  <pic:spPr>
                    <a:xfrm>
                      <a:off x="0" y="0"/>
                      <a:ext cx="5029200" cy="2957290"/>
                    </a:xfrm>
                    <a:prstGeom prst="rect"/>
                  </pic:spPr>
                </pic:pic>
              </a:graphicData>
            </a:graphic>
          </wp:inline>
        </w:drawing>
      </w:r>
    </w:p>
    <w:p>
      <w:pPr>
        <w:pStyle w:val="Heading3"/>
      </w:pPr>
      <w:r>
        <w:rPr>
          <w:rFonts w:ascii="微软雅黑" w:hAnsi="微软雅黑"/>
        </w:rPr>
        <w:t>添加`transforms-external-systems`库</w:t>
      </w:r>
    </w:p>
    <w:p>
      <w:pPr>
        <w:spacing w:line="360" w:lineRule="auto" w:after="120"/>
      </w:pPr>
      <w:r>
        <w:rPr>
          <w:rFonts w:ascii="微软雅黑" w:hAnsi="微软雅黑"/>
          <w:sz w:val="21"/>
        </w:rPr>
        <w:t>一旦为代码存储库启用了外部系统交互，您必须从代码界面左侧的</w:t>
      </w:r>
      <w:r>
        <w:rPr>
          <w:rFonts w:ascii="微软雅黑" w:hAnsi="微软雅黑"/>
          <w:color w:val="0066CC"/>
          <w:sz w:val="21"/>
          <w:u w:val="single"/>
        </w:rPr>
        <w:t>**库**侧边栏选项卡</w:t>
      </w:r>
      <w:r>
        <w:rPr>
          <w:rFonts w:ascii="微软雅黑" w:hAnsi="微软雅黑"/>
          <w:sz w:val="21"/>
        </w:rPr>
        <w:t>添加</w:t>
      </w:r>
      <w:r>
        <w:rPr>
          <w:rFonts w:ascii="Consolas" w:hAnsi="Consolas"/>
          <w:color w:val="B43C3C"/>
          <w:sz w:val="18"/>
        </w:rPr>
        <w:t>transforms-external-systems</w:t>
      </w:r>
      <w:r>
        <w:rPr>
          <w:rFonts w:ascii="微软雅黑" w:hAnsi="微软雅黑"/>
          <w:sz w:val="21"/>
        </w:rPr>
        <w:t>库。</w:t>
      </w:r>
    </w:p>
    <w:p>
      <w:pPr>
        <w:spacing w:after="40"/>
        <w:jc w:val="center"/>
      </w:pPr>
      <w:r>
        <w:rPr>
          <w:i/>
          <w:color w:val="646464"/>
          <w:sz w:val="18"/>
        </w:rPr>
        <w:t>图：在左侧面板的库选项卡中添加库。</w:t>
      </w:r>
    </w:p>
    <w:p>
      <w:pPr>
        <w:spacing w:before="120" w:after="240"/>
        <w:jc w:val="center"/>
      </w:pPr>
      <w:r>
        <w:drawing>
          <wp:inline xmlns:a="http://schemas.openxmlformats.org/drawingml/2006/main" xmlns:pic="http://schemas.openxmlformats.org/drawingml/2006/picture">
            <wp:extent cx="5029200" cy="2556510"/>
            <wp:docPr id="35" name="Picture 35"/>
            <wp:cNvGraphicFramePr>
              <a:graphicFrameLocks noChangeAspect="1"/>
            </wp:cNvGraphicFramePr>
            <a:graphic>
              <a:graphicData uri="http://schemas.openxmlformats.org/drawingml/2006/picture">
                <pic:pic>
                  <pic:nvPicPr>
                    <pic:cNvPr id="0" name="external-transforms-library.png"/>
                    <pic:cNvPicPr/>
                  </pic:nvPicPr>
                  <pic:blipFill>
                    <a:blip r:embed="rId42"/>
                    <a:stretch>
                      <a:fillRect/>
                    </a:stretch>
                  </pic:blipFill>
                  <pic:spPr>
                    <a:xfrm>
                      <a:off x="0" y="0"/>
                      <a:ext cx="5029200" cy="2556510"/>
                    </a:xfrm>
                    <a:prstGeom prst="rect"/>
                  </pic:spPr>
                </pic:pic>
              </a:graphicData>
            </a:graphic>
          </wp:inline>
        </w:drawing>
      </w:r>
    </w:p>
    <w:p>
      <w:pPr>
        <w:pStyle w:val="Heading3"/>
      </w:pPr>
      <w:r>
        <w:rPr>
          <w:rFonts w:ascii="微软雅黑" w:hAnsi="微软雅黑"/>
        </w:rPr>
        <w:t>配置出口和凭据</w:t>
      </w:r>
    </w:p>
    <w:p>
      <w:pPr>
        <w:spacing w:line="360" w:lineRule="auto" w:after="120"/>
      </w:pPr>
      <w:r>
        <w:rPr>
          <w:rFonts w:ascii="微软雅黑" w:hAnsi="微软雅黑"/>
          <w:sz w:val="21"/>
        </w:rPr>
        <w:t>添加库后，您可以访问代码界面左侧的新</w:t>
      </w:r>
      <w:r>
        <w:rPr>
          <w:rFonts w:ascii="微软雅黑" w:hAnsi="微软雅黑"/>
          <w:b/>
          <w:sz w:val="21"/>
        </w:rPr>
        <w:t>出口和凭据</w:t>
      </w:r>
      <w:r>
        <w:rPr>
          <w:rFonts w:ascii="微软雅黑" w:hAnsi="微软雅黑"/>
          <w:sz w:val="21"/>
        </w:rPr>
        <w:t>选项卡。</w:t>
      </w:r>
    </w:p>
    <w:p>
      <w:pPr>
        <w:spacing w:line="360" w:lineRule="auto" w:after="120"/>
      </w:pPr>
      <w:r>
        <w:rPr>
          <w:rFonts w:ascii="微软雅黑" w:hAnsi="微软雅黑"/>
          <w:sz w:val="21"/>
        </w:rPr>
        <w:t>在此选项卡中，您可以设置代码中调用的任何端点所需的网络出口策略，并为存储库添加凭据（如果需要）。请注意，并非所有端点都需要凭据。</w:t>
      </w:r>
    </w:p>
    <w:p>
      <w:pPr>
        <w:spacing w:before="120" w:after="240"/>
        <w:jc w:val="center"/>
      </w:pPr>
      <w:r>
        <w:drawing>
          <wp:inline xmlns:a="http://schemas.openxmlformats.org/drawingml/2006/main" xmlns:pic="http://schemas.openxmlformats.org/drawingml/2006/picture">
            <wp:extent cx="2550101" cy="4114800"/>
            <wp:docPr id="36" name="Picture 36"/>
            <wp:cNvGraphicFramePr>
              <a:graphicFrameLocks noChangeAspect="1"/>
            </wp:cNvGraphicFramePr>
            <a:graphic>
              <a:graphicData uri="http://schemas.openxmlformats.org/drawingml/2006/picture">
                <pic:pic>
                  <pic:nvPicPr>
                    <pic:cNvPr id="0" name="external-transforms-egress-and-credentials-tab.png"/>
                    <pic:cNvPicPr/>
                  </pic:nvPicPr>
                  <pic:blipFill>
                    <a:blip r:embed="rId43"/>
                    <a:stretch>
                      <a:fillRect/>
                    </a:stretch>
                  </pic:blipFill>
                  <pic:spPr>
                    <a:xfrm>
                      <a:off x="0" y="0"/>
                      <a:ext cx="2550101" cy="4114800"/>
                    </a:xfrm>
                    <a:prstGeom prst="rect"/>
                  </pic:spPr>
                </pic:pic>
              </a:graphicData>
            </a:graphic>
          </wp:inline>
        </w:drawing>
      </w:r>
    </w:p>
    <w:p>
      <w:pPr>
        <w:pStyle w:val="Heading2"/>
      </w:pPr>
      <w:r>
        <w:rPr>
          <w:rFonts w:ascii="微软雅黑" w:hAnsi="微软雅黑"/>
        </w:rPr>
        <w:t>使用网络出口策略和凭据</w:t>
      </w:r>
    </w:p>
    <w:p>
      <w:pPr>
        <w:pStyle w:val="Heading3"/>
      </w:pPr>
      <w:r>
        <w:rPr>
          <w:rFonts w:ascii="微软雅黑" w:hAnsi="微软雅黑"/>
        </w:rPr>
        <w:t>添加出口策略</w:t>
      </w:r>
    </w:p>
    <w:p>
      <w:pPr>
        <w:spacing w:line="360" w:lineRule="auto" w:after="120"/>
      </w:pPr>
      <w:r>
        <w:rPr>
          <w:rFonts w:ascii="微软雅黑" w:hAnsi="微软雅黑"/>
          <w:sz w:val="21"/>
        </w:rPr>
        <w:t>Foundry要求用户编写的代码发起的所有连接在访问外部目的地时都必须绑定到网络出口策略。网络出口策略允许从用户编写的代码发起的允许连接到达Foundry之外的目的地。</w:t>
      </w:r>
    </w:p>
    <w:p>
      <w:pPr>
        <w:spacing w:line="360" w:lineRule="auto" w:after="120"/>
      </w:pPr>
      <w:r>
        <w:rPr>
          <w:rFonts w:ascii="微软雅黑" w:hAnsi="微软雅黑"/>
          <w:sz w:val="21"/>
        </w:rPr>
        <w:t>如果您的注册启用了自助出口，您可以在控制面板中</w:t>
      </w:r>
      <w:r>
        <w:rPr>
          <w:rFonts w:ascii="微软雅黑" w:hAnsi="微软雅黑"/>
          <w:color w:val="0066CC"/>
          <w:sz w:val="21"/>
          <w:u w:val="single"/>
        </w:rPr>
        <w:t>创建和管理出口策略</w:t>
      </w:r>
      <w:r>
        <w:rPr>
          <w:rFonts w:ascii="微软雅黑" w:hAnsi="微软雅黑"/>
          <w:sz w:val="21"/>
        </w:rPr>
        <w:t>。如果您的连接需要添加新的网络路径，请联系您的信息安全官或Palantir代表了解您的出口策略详细信息。</w:t>
      </w:r>
    </w:p>
    <w:p>
      <w:pPr>
        <w:spacing w:line="360" w:lineRule="auto" w:after="120"/>
      </w:pPr>
      <w:r>
        <w:rPr>
          <w:rFonts w:ascii="微软雅黑" w:hAnsi="微软雅黑"/>
          <w:sz w:val="21"/>
        </w:rPr>
        <w:t>如果您的Foundry实例未启用自助出口，请联系您的Palantir代表以内部启用端点并配置策略。</w:t>
      </w:r>
    </w:p>
    <w:p>
      <w:pPr>
        <w:spacing w:line="360" w:lineRule="auto" w:after="120"/>
      </w:pPr>
      <w:r>
        <w:rPr>
          <w:rFonts w:ascii="微软雅黑" w:hAnsi="微软雅黑"/>
          <w:sz w:val="21"/>
        </w:rPr>
        <w:t>在使用外部变换的出口策略（无论是全局还是非全局）之前，您必须从代码存储库中的</w:t>
      </w:r>
      <w:r>
        <w:rPr>
          <w:rFonts w:ascii="微软雅黑" w:hAnsi="微软雅黑"/>
          <w:b/>
          <w:sz w:val="21"/>
        </w:rPr>
        <w:t>出口和凭据</w:t>
      </w:r>
      <w:r>
        <w:rPr>
          <w:rFonts w:ascii="微软雅黑" w:hAnsi="微软雅黑"/>
          <w:sz w:val="21"/>
        </w:rPr>
        <w:t>面板的</w:t>
      </w:r>
      <w:r>
        <w:rPr>
          <w:rFonts w:ascii="微软雅黑" w:hAnsi="微软雅黑"/>
          <w:b/>
          <w:sz w:val="21"/>
        </w:rPr>
        <w:t>出口</w:t>
      </w:r>
      <w:r>
        <w:rPr>
          <w:rFonts w:ascii="微软雅黑" w:hAnsi="微软雅黑"/>
          <w:sz w:val="21"/>
        </w:rPr>
        <w:t>选项卡中导入它们。</w:t>
      </w:r>
      <w:r>
        <w:rPr>
          <w:rFonts w:ascii="微软雅黑" w:hAnsi="微软雅黑"/>
          <w:b/>
          <w:sz w:val="21"/>
        </w:rPr>
        <w:t>出口</w:t>
      </w:r>
      <w:r>
        <w:rPr>
          <w:rFonts w:ascii="微软雅黑" w:hAnsi="微软雅黑"/>
          <w:sz w:val="21"/>
        </w:rPr>
        <w:t>选项卡公开了您有权限访问的所有策略，并将它们分类为三类：</w:t>
      </w:r>
    </w:p>
    <w:p>
      <w:pPr>
        <w:pStyle w:val="ListBullet"/>
        <w:spacing w:line="360" w:lineRule="auto" w:after="120"/>
      </w:pPr>
      <w:r>
        <w:rPr>
          <w:rFonts w:ascii="微软雅黑" w:hAnsi="微软雅黑"/>
          <w:b/>
          <w:sz w:val="21"/>
        </w:rPr>
        <w:t>已导入：</w:t>
      </w:r>
      <w:r>
        <w:rPr>
          <w:rFonts w:ascii="微软雅黑" w:hAnsi="微软雅黑"/>
          <w:sz w:val="21"/>
        </w:rPr>
        <w:t xml:space="preserve"> 当前代码存储库中可供您的变换使用的网络出口策略。</w:t>
      </w:r>
    </w:p>
    <w:p>
      <w:pPr>
        <w:pStyle w:val="ListBullet"/>
        <w:spacing w:line="360" w:lineRule="auto" w:after="120"/>
      </w:pPr>
      <w:r>
        <w:rPr>
          <w:rFonts w:ascii="微软雅黑" w:hAnsi="微软雅黑"/>
          <w:b/>
          <w:sz w:val="21"/>
        </w:rPr>
        <w:t>可导入：</w:t>
      </w:r>
      <w:r>
        <w:rPr>
          <w:rFonts w:ascii="微软雅黑" w:hAnsi="微软雅黑"/>
          <w:sz w:val="21"/>
        </w:rPr>
        <w:t xml:space="preserve"> 需要向网络出口策略添加项目引用。</w:t>
      </w:r>
    </w:p>
    <w:p>
      <w:pPr>
        <w:pStyle w:val="ListBullet"/>
        <w:spacing w:line="360" w:lineRule="auto" w:after="120"/>
      </w:pPr>
      <w:r>
        <w:rPr>
          <w:rFonts w:ascii="微软雅黑" w:hAnsi="微软雅黑"/>
          <w:b/>
          <w:sz w:val="21"/>
        </w:rPr>
        <w:t>需要访问请求：</w:t>
      </w:r>
      <w:r>
        <w:rPr>
          <w:rFonts w:ascii="微软雅黑" w:hAnsi="微软雅黑"/>
          <w:sz w:val="21"/>
        </w:rPr>
        <w:t xml:space="preserve"> 您对策略有</w:t>
      </w:r>
      <w:r>
        <w:rPr>
          <w:rFonts w:ascii="Consolas" w:hAnsi="Consolas"/>
          <w:color w:val="B43C3C"/>
          <w:sz w:val="18"/>
        </w:rPr>
        <w:t>只读</w:t>
      </w:r>
      <w:r>
        <w:rPr>
          <w:rFonts w:ascii="微软雅黑" w:hAnsi="微软雅黑"/>
          <w:sz w:val="21"/>
        </w:rPr>
        <w:t>权限但没有</w:t>
      </w:r>
      <w:r>
        <w:rPr>
          <w:rFonts w:ascii="Consolas" w:hAnsi="Consolas"/>
          <w:color w:val="B43C3C"/>
          <w:sz w:val="18"/>
        </w:rPr>
        <w:t>导入者</w:t>
      </w:r>
      <w:r>
        <w:rPr>
          <w:rFonts w:ascii="微软雅黑" w:hAnsi="微软雅黑"/>
          <w:sz w:val="21"/>
        </w:rPr>
        <w:t>权限。</w:t>
      </w:r>
    </w:p>
    <w:p>
      <w:pPr>
        <w:spacing w:line="360" w:lineRule="auto" w:after="120"/>
      </w:pPr>
      <w:r>
        <w:rPr>
          <w:rFonts w:ascii="微软雅黑" w:hAnsi="微软雅黑"/>
          <w:sz w:val="21"/>
        </w:rPr>
        <w:t>在此选项卡中，搜索所需的网络出口策略。如果策略标记为</w:t>
      </w:r>
      <w:r>
        <w:rPr>
          <w:rFonts w:ascii="Consolas" w:hAnsi="Consolas"/>
          <w:color w:val="B43C3C"/>
          <w:sz w:val="18"/>
        </w:rPr>
        <w:t>可导入</w:t>
      </w:r>
      <w:r>
        <w:rPr>
          <w:rFonts w:ascii="微软雅黑" w:hAnsi="微软雅黑"/>
          <w:sz w:val="21"/>
        </w:rPr>
        <w:t>，请选择它并选择</w:t>
      </w:r>
      <w:r>
        <w:rPr>
          <w:rFonts w:ascii="微软雅黑" w:hAnsi="微软雅黑"/>
          <w:b/>
          <w:sz w:val="21"/>
        </w:rPr>
        <w:t>将出口策略导入到项目</w:t>
      </w:r>
      <w:r>
        <w:rPr>
          <w:rFonts w:ascii="微软雅黑" w:hAnsi="微软雅黑"/>
          <w:sz w:val="21"/>
        </w:rPr>
        <w:t>。</w:t>
      </w:r>
    </w:p>
    <w:p>
      <w:pPr>
        <w:spacing w:line="360" w:lineRule="auto" w:after="120"/>
      </w:pPr>
      <w:r>
        <w:rPr>
          <w:rFonts w:ascii="微软雅黑" w:hAnsi="微软雅黑"/>
          <w:sz w:val="21"/>
        </w:rPr>
        <w:t>如果所需的网络出口策略标记为</w:t>
      </w:r>
      <w:r>
        <w:rPr>
          <w:rFonts w:ascii="Consolas" w:hAnsi="Consolas"/>
          <w:color w:val="B43C3C"/>
          <w:sz w:val="18"/>
        </w:rPr>
        <w:t>需要访问请求</w:t>
      </w:r>
      <w:r>
        <w:rPr>
          <w:rFonts w:ascii="微软雅黑" w:hAnsi="微软雅黑"/>
          <w:sz w:val="21"/>
        </w:rPr>
        <w:t>，具有</w:t>
      </w:r>
      <w:r>
        <w:rPr>
          <w:rFonts w:ascii="Consolas" w:hAnsi="Consolas"/>
          <w:color w:val="B43C3C"/>
          <w:sz w:val="18"/>
        </w:rPr>
        <w:t>信息安全官</w:t>
      </w:r>
      <w:r>
        <w:rPr>
          <w:rFonts w:ascii="微软雅黑" w:hAnsi="微软雅黑"/>
          <w:sz w:val="21"/>
        </w:rPr>
        <w:t>角色的Foundry用户应在控制面板的</w:t>
      </w:r>
      <w:r>
        <w:rPr>
          <w:rFonts w:ascii="微软雅黑" w:hAnsi="微软雅黑"/>
          <w:b/>
          <w:sz w:val="21"/>
        </w:rPr>
        <w:t>网络出口</w:t>
      </w:r>
      <w:r>
        <w:rPr>
          <w:rFonts w:ascii="微软雅黑" w:hAnsi="微软雅黑"/>
          <w:sz w:val="21"/>
        </w:rPr>
        <w:t>页面上授予您</w:t>
      </w:r>
      <w:r>
        <w:rPr>
          <w:rFonts w:ascii="Consolas" w:hAnsi="Consolas"/>
          <w:color w:val="B43C3C"/>
          <w:sz w:val="18"/>
        </w:rPr>
        <w:t>导入者</w:t>
      </w:r>
      <w:r>
        <w:rPr>
          <w:rFonts w:ascii="微软雅黑" w:hAnsi="微软雅黑"/>
          <w:sz w:val="21"/>
        </w:rPr>
        <w:t>角色。要授予</w:t>
      </w:r>
      <w:r>
        <w:rPr>
          <w:rFonts w:ascii="Consolas" w:hAnsi="Consolas"/>
          <w:color w:val="B43C3C"/>
          <w:sz w:val="18"/>
        </w:rPr>
        <w:t>导入者</w:t>
      </w:r>
      <w:r>
        <w:rPr>
          <w:rFonts w:ascii="微软雅黑" w:hAnsi="微软雅黑"/>
          <w:sz w:val="21"/>
        </w:rPr>
        <w:t>角色，信息安全官应首先选择所需的网络策略，然后选择</w:t>
      </w:r>
      <w:r>
        <w:rPr>
          <w:rFonts w:ascii="微软雅黑" w:hAnsi="微软雅黑"/>
          <w:b/>
          <w:sz w:val="21"/>
        </w:rPr>
        <w:t>操作 &gt; 管理共享</w:t>
      </w:r>
      <w:r>
        <w:rPr>
          <w:rFonts w:ascii="微软雅黑" w:hAnsi="微软雅黑"/>
          <w:sz w:val="21"/>
        </w:rPr>
        <w:t>将您添加为策略的</w:t>
      </w:r>
      <w:r>
        <w:rPr>
          <w:rFonts w:ascii="Consolas" w:hAnsi="Consolas"/>
          <w:color w:val="B43C3C"/>
          <w:sz w:val="18"/>
        </w:rPr>
        <w:t>导入者</w:t>
      </w:r>
      <w:r>
        <w:rPr>
          <w:rFonts w:ascii="微软雅黑" w:hAnsi="微软雅黑"/>
          <w:sz w:val="21"/>
        </w:rPr>
        <w:t>。</w:t>
      </w:r>
    </w:p>
    <w:p>
      <w:pPr>
        <w:pStyle w:val="Heading3"/>
      </w:pPr>
      <w:r>
        <w:rPr>
          <w:rFonts w:ascii="微软雅黑" w:hAnsi="微软雅黑"/>
        </w:rPr>
        <w:t>添加凭据</w:t>
      </w:r>
    </w:p>
    <w:p>
      <w:pPr>
        <w:spacing w:line="360" w:lineRule="auto" w:after="120"/>
      </w:pPr>
      <w:r>
        <w:rPr>
          <w:rFonts w:ascii="微软雅黑" w:hAnsi="微软雅黑"/>
          <w:sz w:val="21"/>
        </w:rPr>
        <w:t>如果您的外部系统需要授权凭据（用户名和密码）才能获得访问权限，您可以使用</w:t>
      </w:r>
      <w:r>
        <w:rPr>
          <w:rFonts w:ascii="微软雅黑" w:hAnsi="微软雅黑"/>
          <w:b/>
          <w:sz w:val="21"/>
        </w:rPr>
        <w:t>出口和凭据</w:t>
      </w:r>
      <w:r>
        <w:rPr>
          <w:rFonts w:ascii="微软雅黑" w:hAnsi="微软雅黑"/>
          <w:sz w:val="21"/>
        </w:rPr>
        <w:t>侧边栏中的</w:t>
      </w:r>
      <w:r>
        <w:rPr>
          <w:rFonts w:ascii="微软雅黑" w:hAnsi="微软雅黑"/>
          <w:b/>
          <w:sz w:val="21"/>
        </w:rPr>
        <w:t>凭据</w:t>
      </w:r>
      <w:r>
        <w:rPr>
          <w:rFonts w:ascii="微软雅黑" w:hAnsi="微软雅黑"/>
          <w:sz w:val="21"/>
        </w:rPr>
        <w:t>选项卡添加一组凭据，并在代码中使用它们。</w:t>
      </w:r>
    </w:p>
    <w:p>
      <w:pPr>
        <w:spacing w:line="360" w:lineRule="auto" w:after="120"/>
      </w:pPr>
      <w:r>
        <w:rPr>
          <w:rFonts w:ascii="微软雅黑" w:hAnsi="微软雅黑"/>
          <w:sz w:val="21"/>
        </w:rPr>
        <w:t>如果源端点有白名单过程，您必须将Foundry IP地址列入白名单。请联系您的Palantir代表获取所需的IP地址。</w:t>
      </w:r>
    </w:p>
    <w:p>
      <w:pPr>
        <w:spacing w:line="360" w:lineRule="auto" w:after="120"/>
      </w:pPr>
      <w:r>
        <w:rPr>
          <w:rFonts w:ascii="微软雅黑" w:hAnsi="微软雅黑"/>
          <w:sz w:val="21"/>
        </w:rPr>
        <w:t>#### 传递证书</w:t>
      </w:r>
    </w:p>
    <w:p>
      <w:pPr>
        <w:spacing w:line="360" w:lineRule="auto" w:after="120"/>
      </w:pPr>
      <w:r>
        <w:rPr>
          <w:rFonts w:ascii="微软雅黑" w:hAnsi="微软雅黑"/>
          <w:sz w:val="21"/>
        </w:rPr>
        <w:t>如果您的外部系统需要传递SSL/TLS证书，您可以将证书存储在凭据中，然后在外部变换逻辑中使用该凭据。</w:t>
      </w:r>
    </w:p>
    <w:p>
      <w:pPr>
        <w:pStyle w:val="Heading2"/>
      </w:pPr>
      <w:r>
        <w:rPr>
          <w:rFonts w:ascii="微软雅黑" w:hAnsi="微软雅黑"/>
        </w:rPr>
        <w:t>编写外部变换逻辑</w:t>
      </w:r>
    </w:p>
    <w:p>
      <w:pPr>
        <w:spacing w:line="360" w:lineRule="auto" w:after="120"/>
      </w:pPr>
      <w:r>
        <w:rPr>
          <w:rFonts w:ascii="微软雅黑" w:hAnsi="微软雅黑"/>
          <w:sz w:val="21"/>
        </w:rPr>
        <w:t>您现在可以编写一个Python数据变换到外部系统。我们建议在编写外部变换之前查看有关如何</w:t>
      </w:r>
      <w:r>
        <w:rPr>
          <w:rFonts w:ascii="微软雅黑" w:hAnsi="微软雅黑"/>
          <w:color w:val="0066CC"/>
          <w:sz w:val="21"/>
          <w:u w:val="single"/>
        </w:rPr>
        <w:t>编写Python数据变换</w:t>
      </w:r>
      <w:r>
        <w:rPr>
          <w:rFonts w:ascii="微软雅黑" w:hAnsi="微软雅黑"/>
          <w:sz w:val="21"/>
        </w:rPr>
        <w:t>的基本说明。</w:t>
      </w:r>
    </w:p>
    <w:p>
      <w:pPr>
        <w:spacing w:line="360" w:lineRule="auto" w:after="120"/>
      </w:pPr>
      <w:r>
        <w:rPr>
          <w:rFonts w:ascii="微软雅黑" w:hAnsi="微软雅黑"/>
          <w:sz w:val="21"/>
        </w:rPr>
        <w:t>从</w:t>
      </w:r>
      <w:r>
        <w:rPr>
          <w:rFonts w:ascii="Consolas" w:hAnsi="Consolas"/>
          <w:color w:val="B43C3C"/>
          <w:sz w:val="18"/>
        </w:rPr>
        <w:t>transforms.external.systems</w:t>
      </w:r>
      <w:r>
        <w:rPr>
          <w:rFonts w:ascii="微软雅黑" w:hAnsi="微软雅黑"/>
          <w:sz w:val="21"/>
        </w:rPr>
        <w:t>包中导入所需的</w:t>
      </w:r>
      <w:r>
        <w:rPr>
          <w:rFonts w:ascii="Consolas" w:hAnsi="Consolas"/>
          <w:color w:val="B43C3C"/>
          <w:sz w:val="18"/>
        </w:rPr>
        <w:t>use_external_systems</w:t>
      </w:r>
      <w:r>
        <w:rPr>
          <w:rFonts w:ascii="微软雅黑" w:hAnsi="微软雅黑"/>
          <w:sz w:val="21"/>
        </w:rPr>
        <w:t>装饰器以及</w:t>
      </w:r>
      <w:r>
        <w:rPr>
          <w:rFonts w:ascii="Consolas" w:hAnsi="Consolas"/>
          <w:color w:val="B43C3C"/>
          <w:sz w:val="18"/>
        </w:rPr>
        <w:t>EgressPolicy</w:t>
      </w:r>
      <w:r>
        <w:rPr>
          <w:rFonts w:ascii="微软雅黑" w:hAnsi="微软雅黑"/>
          <w:sz w:val="21"/>
        </w:rPr>
        <w:t>和</w:t>
      </w:r>
      <w:r>
        <w:rPr>
          <w:rFonts w:ascii="Consolas" w:hAnsi="Consolas"/>
          <w:color w:val="B43C3C"/>
          <w:sz w:val="18"/>
        </w:rPr>
        <w:t>Credential</w:t>
      </w:r>
      <w:r>
        <w:rPr>
          <w:rFonts w:ascii="微软雅黑" w:hAnsi="微软雅黑"/>
          <w:sz w:val="21"/>
        </w:rPr>
        <w:t>（如果需要）输入。从</w:t>
      </w:r>
      <w:r>
        <w:rPr>
          <w:rFonts w:ascii="Consolas" w:hAnsi="Consolas"/>
          <w:color w:val="B43C3C"/>
          <w:sz w:val="18"/>
        </w:rPr>
        <w:t>transforms-api</w:t>
      </w:r>
      <w:r>
        <w:rPr>
          <w:rFonts w:ascii="微软雅黑" w:hAnsi="微软雅黑"/>
          <w:sz w:val="21"/>
        </w:rPr>
        <w:t>中导入变换装饰器和</w:t>
      </w:r>
      <w:r>
        <w:rPr>
          <w:rFonts w:ascii="Consolas" w:hAnsi="Consolas"/>
          <w:color w:val="B43C3C"/>
          <w:sz w:val="18"/>
        </w:rPr>
        <w:t>Output</w:t>
      </w:r>
      <w:r>
        <w:rPr>
          <w:rFonts w:ascii="微软雅黑" w:hAnsi="微软雅黑"/>
          <w:sz w:val="21"/>
        </w:rPr>
        <w:t>。如果您的外部源不需要凭据，您无需在逻辑中添加</w:t>
      </w:r>
      <w:r>
        <w:rPr>
          <w:rFonts w:ascii="Consolas" w:hAnsi="Consolas"/>
          <w:color w:val="B43C3C"/>
          <w:sz w:val="18"/>
        </w:rPr>
        <w:t>Credential</w:t>
      </w:r>
      <w:r>
        <w:rPr>
          <w:rFonts w:ascii="微软雅黑" w:hAnsi="微软雅黑"/>
          <w:sz w:val="21"/>
        </w:rPr>
        <w:t>输入。</w:t>
      </w:r>
    </w:p>
    <w:p>
      <w:pPr>
        <w:spacing w:line="360" w:lineRule="auto" w:after="120"/>
      </w:pPr>
      <w:r>
        <w:rPr>
          <w:rFonts w:ascii="微软雅黑" w:hAnsi="微软雅黑"/>
          <w:sz w:val="21"/>
        </w:rPr>
        <w:t>您必须使用</w:t>
      </w:r>
      <w:r>
        <w:rPr>
          <w:rFonts w:ascii="Consolas" w:hAnsi="Consolas"/>
          <w:color w:val="B43C3C"/>
          <w:sz w:val="18"/>
        </w:rPr>
        <w:t>use_external_systems</w:t>
      </w:r>
      <w:r>
        <w:rPr>
          <w:rFonts w:ascii="微软雅黑" w:hAnsi="微软雅黑"/>
          <w:sz w:val="21"/>
        </w:rPr>
        <w:t>装饰器才能成功编写外部变换逻辑。</w:t>
      </w:r>
    </w:p>
    <w:p>
      <w:pPr>
        <w:spacing w:line="360" w:lineRule="auto" w:after="120"/>
      </w:pPr>
      <w:r>
        <w:rPr>
          <w:rFonts w:ascii="微软雅黑" w:hAnsi="微软雅黑"/>
          <w:sz w:val="21"/>
        </w:rPr>
        <w:t>以下示例展示了如何使用这两个装饰器：</w:t>
      </w:r>
    </w:p>
    <w:p>
      <w:pPr>
        <w:spacing w:before="80" w:after="80"/>
        <w:ind w:left="567"/>
      </w:pPr>
      <w:r>
        <w:rPr>
          <w:rFonts w:ascii="Consolas" w:hAnsi="Consolas"/>
          <w:color w:val="505050"/>
          <w:sz w:val="18"/>
        </w:rPr>
        <w:t>from transforms.api import transform, Output</w:t>
        <w:br/>
        <w:t>from transforms.external.systems import use_external_systems, EgressPolicy, Credential</w:t>
        <w:br/>
        <w:t># 使用外部系统装饰器，指定出口策略和凭据</w:t>
        <w:br/>
        <w:t>@use_external_systems(</w:t>
        <w:br/>
        <w:t xml:space="preserve">    egress=EgressPolicy('&lt;policy RID&gt;'),  # 出口策略的资源标识符</w:t>
        <w:br/>
        <w:t xml:space="preserve">    creds=Credential('&lt;credential RID&gt;')  # 凭据的资源标识符</w:t>
        <w:br/>
        <w:t>)</w:t>
        <w:br/>
        <w:t>@transform(</w:t>
        <w:br/>
        <w:t xml:space="preserve">    output=Output('/path/to/output/dataset')  # 指定输出数据集的路径</w:t>
        <w:br/>
        <w:t>)</w:t>
        <w:br/>
        <w:t>def compute(egress, creds, ...):</w:t>
        <w:br/>
        <w:t xml:space="preserve">    # 计算逻辑的实现部分</w:t>
        <w:br/>
        <w:t xml:space="preserve">    # ...</w:t>
      </w:r>
    </w:p>
    <w:p>
      <w:pPr>
        <w:spacing w:line="360" w:lineRule="auto" w:after="120"/>
      </w:pPr>
      <w:r>
        <w:rPr>
          <w:rFonts w:ascii="微软雅黑" w:hAnsi="微软雅黑"/>
          <w:sz w:val="21"/>
        </w:rPr>
        <w:t>然后，您可以设置一个简单的变换以连接到API：</w:t>
      </w:r>
    </w:p>
    <w:p>
      <w:pPr>
        <w:spacing w:before="80" w:after="80"/>
        <w:ind w:left="567"/>
      </w:pPr>
      <w:r>
        <w:rPr>
          <w:rFonts w:ascii="Consolas" w:hAnsi="Consolas"/>
          <w:color w:val="505050"/>
          <w:sz w:val="18"/>
        </w:rPr>
        <w:t>from transforms.api import transform, Output</w:t>
        <w:br/>
        <w:t>from transforms.external.systems import EgressPolicy, use_external_systems, Credential</w:t>
        <w:br/>
        <w:t>import requests</w:t>
        <w:br/>
        <w:t>@use_external_systems(</w:t>
        <w:br/>
        <w:t xml:space="preserve">    egress=EgressPolicy('&lt;policy RID&gt;'),  # 使用外部系统的出口策略</w:t>
        <w:br/>
        <w:t xml:space="preserve">    creds=Credential('&lt;credential RID&gt;')  # 使用外部系统的凭证</w:t>
        <w:br/>
        <w:t>)</w:t>
        <w:br/>
        <w:t>@transform(</w:t>
        <w:br/>
        <w:t xml:space="preserve">    output=Output('/path/to/output/dataset')  # 指定输出数据集的路径</w:t>
        <w:br/>
        <w:t>)</w:t>
        <w:br/>
        <w:t>def compute(egress, output, creds):</w:t>
        <w:br/>
        <w:t xml:space="preserve">    # 从凭证中获取用户名和密码</w:t>
        <w:br/>
        <w:t xml:space="preserve">    username = creds.get('username')</w:t>
        <w:br/>
        <w:t xml:space="preserve">    password = creds.get('password')</w:t>
        <w:br/>
        <w:t xml:space="preserve">    # 使用基本身份验证从指定的API URL获取响应</w:t>
        <w:br/>
        <w:t xml:space="preserve">    response = requests.get('https://&lt;API URL&gt;', auth=(username, password), timeout=10).text</w:t>
        <w:br/>
        <w:t xml:space="preserve">    # 将响应内容写入文件系统中的response.json文件</w:t>
        <w:br/>
        <w:t xml:space="preserve">    with output.filesystem().open('response.json', 'w') as f:</w:t>
        <w:br/>
        <w:t xml:space="preserve">        f.write(response)</w:t>
      </w:r>
    </w:p>
    <w:p>
      <w:pPr>
        <w:spacing w:line="360" w:lineRule="auto" w:after="120"/>
      </w:pPr>
      <w:r>
        <w:rPr>
          <w:rFonts w:ascii="微软雅黑" w:hAnsi="微软雅黑"/>
          <w:sz w:val="21"/>
        </w:rPr>
        <w:t>您还可以在单个变换中指定多个出口策略或凭据，如下例所示。</w:t>
      </w:r>
    </w:p>
    <w:p>
      <w:pPr>
        <w:spacing w:before="80" w:after="80"/>
        <w:ind w:left="567"/>
      </w:pPr>
      <w:r>
        <w:rPr>
          <w:rFonts w:ascii="Consolas" w:hAnsi="Consolas"/>
          <w:color w:val="505050"/>
          <w:sz w:val="18"/>
        </w:rPr>
        <w:t>from transforms.api import transform, Output</w:t>
        <w:br/>
        <w:t>from transforms.external.systems import use_external_systems, EgressPolicy, Credential</w:t>
        <w:br/>
        <w:t>@use_external_systems(</w:t>
        <w:br/>
        <w:t xml:space="preserve">    egress1=EgressPolicy('&lt;first policy RID&gt;'),  # 使用第一个出口策略的 RID</w:t>
        <w:br/>
        <w:t xml:space="preserve">    egress2=EgressPolicy('&lt;second policy RID&gt;'), # 使用第二个出口策略的 RID</w:t>
        <w:br/>
        <w:t xml:space="preserve">    creds1=Credential('&lt;first credential RID&gt;'), # 使用第一个凭证的 RID</w:t>
        <w:br/>
        <w:t xml:space="preserve">    creds2=Credential('&lt;second credential RID&gt;') # 使用第二个凭证的 RID</w:t>
        <w:br/>
        <w:t>)</w:t>
        <w:br/>
        <w:t>@transform(</w:t>
        <w:br/>
        <w:t xml:space="preserve">    output=Output('/path/to/output/dataset')  # 输出数据集的路径</w:t>
        <w:br/>
        <w:t>)</w:t>
        <w:br/>
        <w:t>def compute(egress1, egress2, creds1, creds2, ...):</w:t>
        <w:br/>
        <w:t xml:space="preserve">    # 这里进行数据处理或转换的逻辑</w:t>
        <w:br/>
        <w:t xml:space="preserve">    # ...</w:t>
      </w:r>
    </w:p>
    <w:p>
      <w:pPr>
        <w:pStyle w:val="Heading2"/>
      </w:pPr>
      <w:r>
        <w:rPr>
          <w:rFonts w:ascii="微软雅黑" w:hAnsi="微软雅黑"/>
        </w:rPr>
        <w:t>添加 Foundry 数据集输入</w:t>
      </w:r>
    </w:p>
    <w:p>
      <w:pPr>
        <w:spacing w:line="360" w:lineRule="auto" w:after="120"/>
      </w:pPr>
      <w:r>
        <w:rPr>
          <w:rFonts w:ascii="微软雅黑" w:hAnsi="微软雅黑"/>
          <w:sz w:val="21"/>
        </w:rPr>
        <w:t>在某些情况下，编写处理 Foundry 输入数据的外部变换可能会很有用。例如，您可能希望查询一个 API 以为表格数据集中的每一行收集额外的元数据。或者，您可能需要将 Foundry 数据镜像到外部软件系统中。</w:t>
      </w:r>
    </w:p>
    <w:p>
      <w:pPr>
        <w:spacing w:line="360" w:lineRule="auto" w:after="120"/>
      </w:pPr>
      <w:r>
        <w:rPr>
          <w:rFonts w:ascii="微软雅黑" w:hAnsi="微软雅黑"/>
          <w:sz w:val="21"/>
        </w:rPr>
        <w:t>这种情况被视为*出口控制*的工作流程，因为它打开了将安全的 Foundry 数据导出到另一个安全性未知且数据来源中断的系统的可能性。变换开发人员有责任评估出口工作流程的安全性，并确保从 Foundry 离开的数据在外部系统中得到正确的保护。Foundry 提供治理控制，以确保开发人员可以清晰地编码安全意图，信息安全官员可以审核与外部系统交互的工作流程的范围和意图。</w:t>
      </w:r>
    </w:p>
    <w:p>
      <w:pPr>
        <w:spacing w:line="360" w:lineRule="auto" w:after="120"/>
      </w:pPr>
      <w:r>
        <w:rPr>
          <w:rFonts w:ascii="微软雅黑" w:hAnsi="微软雅黑"/>
          <w:sz w:val="21"/>
        </w:rPr>
        <w:t xml:space="preserve">要选择加入出口控制，请在您的外部变换中应用 </w:t>
      </w:r>
      <w:r>
        <w:rPr>
          <w:rFonts w:ascii="Consolas" w:hAnsi="Consolas"/>
          <w:color w:val="B43C3C"/>
          <w:sz w:val="18"/>
        </w:rPr>
        <w:t>ExportControl</w:t>
      </w:r>
      <w:r>
        <w:rPr>
          <w:rFonts w:ascii="微软雅黑" w:hAnsi="微软雅黑"/>
          <w:sz w:val="21"/>
        </w:rPr>
        <w:t>。</w:t>
      </w:r>
      <w:r>
        <w:rPr>
          <w:rFonts w:ascii="Consolas" w:hAnsi="Consolas"/>
          <w:color w:val="B43C3C"/>
          <w:sz w:val="18"/>
        </w:rPr>
        <w:t>ExportControl</w:t>
      </w:r>
      <w:r>
        <w:rPr>
          <w:rFonts w:ascii="微软雅黑" w:hAnsi="微软雅黑"/>
          <w:sz w:val="21"/>
        </w:rPr>
        <w:t xml:space="preserve"> 接受一个用于导出的安全权限标记和组织 ID 列表。如果上游数据被标记了额外的安全权限标记，变换任务将保证失败。要在代码库中扩展支持导出的权限标记集，信息安全官员必须调整代码库设置。导航到 </w:t>
      </w:r>
      <w:r>
        <w:rPr>
          <w:rFonts w:ascii="微软雅黑" w:hAnsi="微软雅黑"/>
          <w:b/>
          <w:sz w:val="21"/>
        </w:rPr>
        <w:t>设置 &gt; 代码库</w:t>
      </w:r>
      <w:r>
        <w:rPr>
          <w:rFonts w:ascii="微软雅黑" w:hAnsi="微软雅黑"/>
          <w:sz w:val="21"/>
        </w:rPr>
        <w:t xml:space="preserve"> 标签。然后，在 </w:t>
      </w:r>
      <w:r>
        <w:rPr>
          <w:rFonts w:ascii="微软雅黑" w:hAnsi="微软雅黑"/>
          <w:b/>
          <w:sz w:val="21"/>
        </w:rPr>
        <w:t>外部系统</w:t>
      </w:r>
      <w:r>
        <w:rPr>
          <w:rFonts w:ascii="微软雅黑" w:hAnsi="微软雅黑"/>
          <w:sz w:val="21"/>
        </w:rPr>
        <w:t xml:space="preserve"> 部分，选择在步骤 3 中</w:t>
      </w:r>
      <w:r>
        <w:rPr>
          <w:rFonts w:ascii="微软雅黑" w:hAnsi="微软雅黑"/>
          <w:b/>
          <w:sz w:val="21"/>
        </w:rPr>
        <w:t>允许在此代码库中使用 Foundry 输入与外部系统</w:t>
      </w:r>
      <w:r>
        <w:rPr>
          <w:rFonts w:ascii="微软雅黑" w:hAnsi="微软雅黑"/>
          <w:sz w:val="21"/>
        </w:rPr>
        <w:t>。</w:t>
      </w:r>
    </w:p>
    <w:p>
      <w:pPr>
        <w:spacing w:line="360" w:lineRule="auto" w:after="120"/>
      </w:pPr>
      <w:r>
        <w:rPr>
          <w:rFonts w:ascii="微软雅黑" w:hAnsi="微软雅黑"/>
          <w:sz w:val="21"/>
        </w:rPr>
        <w:t>安全权限标记和组织都作为权限标记实现，应在出口控制配置中一起列出。有关缺少权限标记的错误消息可能指的是安全权限标记或组织。</w:t>
      </w:r>
    </w:p>
    <w:p>
      <w:pPr>
        <w:spacing w:line="360" w:lineRule="auto" w:after="120"/>
      </w:pPr>
      <w:r>
        <w:rPr>
          <w:rFonts w:ascii="微软雅黑" w:hAnsi="微软雅黑"/>
          <w:sz w:val="21"/>
        </w:rPr>
        <w:t>例如，您可以使用一个导出外部变换来下载 Foundry 数据集中指定的图像 URL：</w:t>
      </w:r>
    </w:p>
    <w:p>
      <w:pPr>
        <w:spacing w:before="80" w:after="80"/>
        <w:ind w:left="567"/>
      </w:pPr>
      <w:r>
        <w:rPr>
          <w:rFonts w:ascii="Consolas" w:hAnsi="Consolas"/>
          <w:color w:val="505050"/>
          <w:sz w:val="18"/>
        </w:rPr>
        <w:t>from transforms.api import transform, Input, Output</w:t>
        <w:br/>
        <w:t>from transforms.external.systems import use_external_systems, ExportControl, EgressPolicy</w:t>
        <w:br/>
        <w:t>from pyspark.sql.functions import udf</w:t>
        <w:br/>
        <w:t>import shutil</w:t>
        <w:br/>
        <w:t>import requests</w:t>
        <w:br/>
        <w:t>from pyspark.sql.functions import col</w:t>
        <w:br/>
        <w:t>@use_external_systems(</w:t>
        <w:br/>
        <w:t xml:space="preserve">    export_control=ExportControl(markings=['&lt;marking ID&gt;']),</w:t>
        <w:br/>
        <w:t xml:space="preserve">    egress=EgressPolicy(&lt;policy RID&gt;),</w:t>
        <w:br/>
        <w:t>)</w:t>
        <w:br/>
        <w:t>@transform(</w:t>
        <w:br/>
        <w:t xml:space="preserve">    images_output=Output('/path/to/output/dataset'),</w:t>
        <w:br/>
        <w:t xml:space="preserve">    image_urls=Input('/path/to/input/dataset'),</w:t>
        <w:br/>
        <w:t>)</w:t>
        <w:br/>
        <w:t>def compute(export_control, egress, images_output, image_urls):</w:t>
        <w:br/>
        <w:t xml:space="preserve">    # 定义一个用户自定义函数（UDF）用于下载图片</w:t>
        <w:br/>
        <w:t xml:space="preserve">    @udf</w:t>
        <w:br/>
        <w:t xml:space="preserve">    def download(name, url):</w:t>
        <w:br/>
        <w:t xml:space="preserve">        # 从给定的URL下载图片</w:t>
        <w:br/>
        <w:t xml:space="preserve">        response = requests.get(url, stream=True)</w:t>
        <w:br/>
        <w:t xml:space="preserve">        # 使用文件系统打开输出路径下的文件，模式为写二进制</w:t>
        <w:br/>
        <w:t xml:space="preserve">        with images_output.filesystem().open(f'{name}.jpg', mode='wb') as out_file:</w:t>
        <w:br/>
        <w:t xml:space="preserve">            # 将请求响应的内容复制到输出文件中</w:t>
        <w:br/>
        <w:t xml:space="preserve">            shutil.copyfileobj(response.raw, out_file)</w:t>
        <w:br/>
        <w:t xml:space="preserve">        return True</w:t>
        <w:br/>
        <w:t xml:space="preserve">    # 将URL数据集中的每一行应用download函数，并收集结果</w:t>
        <w:br/>
        <w:t xml:space="preserve">    image_urls.dataframe().withColumn('downloaded', download(col('Name'), col('Url'))).collect()</w:t>
      </w:r>
    </w:p>
    <w:p>
      <w:pPr>
        <w:pStyle w:val="Heading3"/>
      </w:pPr>
      <w:r>
        <w:rPr>
          <w:rFonts w:ascii="微软雅黑" w:hAnsi="微软雅黑"/>
        </w:rPr>
        <w:t>代码解释</w:t>
      </w:r>
    </w:p>
    <w:p>
      <w:pPr>
        <w:pStyle w:val="ListNumber"/>
        <w:spacing w:line="360" w:lineRule="auto" w:after="120"/>
      </w:pPr>
      <w:r>
        <w:rPr>
          <w:rFonts w:ascii="微软雅黑" w:hAnsi="微软雅黑"/>
          <w:b/>
          <w:sz w:val="21"/>
        </w:rPr>
        <w:t>导入必要的模块</w:t>
      </w:r>
      <w:r>
        <w:rPr>
          <w:rFonts w:ascii="微软雅黑" w:hAnsi="微软雅黑"/>
          <w:sz w:val="21"/>
        </w:rPr>
        <w:t>：导入了必要的模块和函数，包括</w:t>
      </w:r>
      <w:r>
        <w:rPr>
          <w:rFonts w:ascii="Consolas" w:hAnsi="Consolas"/>
          <w:color w:val="B43C3C"/>
          <w:sz w:val="18"/>
        </w:rPr>
        <w:t>transform</w:t>
      </w:r>
      <w:r>
        <w:rPr>
          <w:rFonts w:ascii="微软雅黑" w:hAnsi="微软雅黑"/>
          <w:sz w:val="21"/>
        </w:rPr>
        <w:t>、</w:t>
      </w:r>
      <w:r>
        <w:rPr>
          <w:rFonts w:ascii="Consolas" w:hAnsi="Consolas"/>
          <w:color w:val="B43C3C"/>
          <w:sz w:val="18"/>
        </w:rPr>
        <w:t>Input</w:t>
      </w:r>
      <w:r>
        <w:rPr>
          <w:rFonts w:ascii="微软雅黑" w:hAnsi="微软雅黑"/>
          <w:sz w:val="21"/>
        </w:rPr>
        <w:t>、</w:t>
      </w:r>
      <w:r>
        <w:rPr>
          <w:rFonts w:ascii="Consolas" w:hAnsi="Consolas"/>
          <w:color w:val="B43C3C"/>
          <w:sz w:val="18"/>
        </w:rPr>
        <w:t>Output</w:t>
      </w:r>
      <w:r>
        <w:rPr>
          <w:rFonts w:ascii="微软雅黑" w:hAnsi="微软雅黑"/>
          <w:sz w:val="21"/>
        </w:rPr>
        <w:t>等，用于数据转换和管理。</w:t>
      </w:r>
    </w:p>
    <w:p>
      <w:pPr>
        <w:pStyle w:val="ListNumber"/>
        <w:spacing w:line="360" w:lineRule="auto" w:after="120"/>
      </w:pPr>
      <w:r>
        <w:rPr>
          <w:rFonts w:ascii="微软雅黑" w:hAnsi="微软雅黑"/>
          <w:b/>
          <w:sz w:val="21"/>
        </w:rPr>
        <w:t>定义注解</w:t>
      </w:r>
      <w:r>
        <w:rPr>
          <w:rFonts w:ascii="微软雅黑" w:hAnsi="微软雅黑"/>
          <w:sz w:val="21"/>
        </w:rPr>
        <w:t>：使用</w:t>
      </w:r>
      <w:r>
        <w:rPr>
          <w:rFonts w:ascii="Consolas" w:hAnsi="Consolas"/>
          <w:color w:val="B43C3C"/>
          <w:sz w:val="18"/>
        </w:rPr>
        <w:t>@use_external_systems</w:t>
      </w:r>
      <w:r>
        <w:rPr>
          <w:rFonts w:ascii="微软雅黑" w:hAnsi="微软雅黑"/>
          <w:sz w:val="21"/>
        </w:rPr>
        <w:t>注解定义导出控制和出口策略，确保数据导出符合安全和合规要求。</w:t>
      </w:r>
    </w:p>
    <w:p>
      <w:pPr>
        <w:pStyle w:val="ListNumber"/>
        <w:spacing w:line="360" w:lineRule="auto" w:after="120"/>
      </w:pPr>
      <w:r>
        <w:rPr>
          <w:rFonts w:ascii="微软雅黑" w:hAnsi="微软雅黑"/>
          <w:b/>
          <w:sz w:val="21"/>
        </w:rPr>
        <w:t>定义转换函数</w:t>
      </w:r>
      <w:r>
        <w:rPr>
          <w:rFonts w:ascii="微软雅黑" w:hAnsi="微软雅黑"/>
          <w:sz w:val="21"/>
        </w:rPr>
        <w:t>：</w:t>
      </w:r>
      <w:r>
        <w:rPr>
          <w:rFonts w:ascii="Consolas" w:hAnsi="Consolas"/>
          <w:color w:val="B43C3C"/>
          <w:sz w:val="18"/>
        </w:rPr>
        <w:t>@transform</w:t>
      </w:r>
      <w:r>
        <w:rPr>
          <w:rFonts w:ascii="微软雅黑" w:hAnsi="微软雅黑"/>
          <w:sz w:val="21"/>
        </w:rPr>
        <w:t>定义了一个转换函数</w:t>
      </w:r>
      <w:r>
        <w:rPr>
          <w:rFonts w:ascii="Consolas" w:hAnsi="Consolas"/>
          <w:color w:val="B43C3C"/>
          <w:sz w:val="18"/>
        </w:rPr>
        <w:t>compute</w:t>
      </w:r>
      <w:r>
        <w:rPr>
          <w:rFonts w:ascii="微软雅黑" w:hAnsi="微软雅黑"/>
          <w:sz w:val="21"/>
        </w:rPr>
        <w:t>，指定了输入和输出的数据集路径。</w:t>
      </w:r>
    </w:p>
    <w:p>
      <w:pPr>
        <w:pStyle w:val="ListNumber"/>
        <w:spacing w:line="360" w:lineRule="auto" w:after="120"/>
      </w:pPr>
      <w:r>
        <w:rPr>
          <w:rFonts w:ascii="微软雅黑" w:hAnsi="微软雅黑"/>
          <w:b/>
          <w:sz w:val="21"/>
        </w:rPr>
        <w:t>用户自定义函数</w:t>
      </w:r>
      <w:r>
        <w:rPr>
          <w:rFonts w:ascii="微软雅黑" w:hAnsi="微软雅黑"/>
          <w:sz w:val="21"/>
        </w:rPr>
        <w:t>：在</w:t>
      </w:r>
      <w:r>
        <w:rPr>
          <w:rFonts w:ascii="Consolas" w:hAnsi="Consolas"/>
          <w:color w:val="B43C3C"/>
          <w:sz w:val="18"/>
        </w:rPr>
        <w:t>compute</w:t>
      </w:r>
      <w:r>
        <w:rPr>
          <w:rFonts w:ascii="微软雅黑" w:hAnsi="微软雅黑"/>
          <w:sz w:val="21"/>
        </w:rPr>
        <w:t xml:space="preserve">函数中，定义了一个UDF </w:t>
      </w:r>
      <w:r>
        <w:rPr>
          <w:rFonts w:ascii="Consolas" w:hAnsi="Consolas"/>
          <w:color w:val="B43C3C"/>
          <w:sz w:val="18"/>
        </w:rPr>
        <w:t>download</w:t>
      </w:r>
      <w:r>
        <w:rPr>
          <w:rFonts w:ascii="微软雅黑" w:hAnsi="微软雅黑"/>
          <w:sz w:val="21"/>
        </w:rPr>
        <w:t>用于从URL下载图片并保存到指定路径。</w:t>
      </w:r>
    </w:p>
    <w:p>
      <w:pPr>
        <w:pStyle w:val="ListNumber"/>
        <w:spacing w:line="360" w:lineRule="auto" w:after="120"/>
      </w:pPr>
      <w:r>
        <w:rPr>
          <w:rFonts w:ascii="微软雅黑" w:hAnsi="微软雅黑"/>
          <w:b/>
          <w:sz w:val="21"/>
        </w:rPr>
        <w:t>数据处理</w:t>
      </w:r>
      <w:r>
        <w:rPr>
          <w:rFonts w:ascii="微软雅黑" w:hAnsi="微软雅黑"/>
          <w:sz w:val="21"/>
        </w:rPr>
        <w:t>：通过</w:t>
      </w:r>
      <w:r>
        <w:rPr>
          <w:rFonts w:ascii="Consolas" w:hAnsi="Consolas"/>
          <w:color w:val="B43C3C"/>
          <w:sz w:val="18"/>
        </w:rPr>
        <w:t>withColumn</w:t>
      </w:r>
      <w:r>
        <w:rPr>
          <w:rFonts w:ascii="微软雅黑" w:hAnsi="微软雅黑"/>
          <w:sz w:val="21"/>
        </w:rPr>
        <w:t>方法向数据框添加一个新列，存储下载操作的结果，并使用</w:t>
      </w:r>
      <w:r>
        <w:rPr>
          <w:rFonts w:ascii="Consolas" w:hAnsi="Consolas"/>
          <w:color w:val="B43C3C"/>
          <w:sz w:val="18"/>
        </w:rPr>
        <w:t>collect()</w:t>
      </w:r>
      <w:r>
        <w:rPr>
          <w:rFonts w:ascii="微软雅黑" w:hAnsi="微软雅黑"/>
          <w:sz w:val="21"/>
        </w:rPr>
        <w:t>方法执行操作。</w:t>
      </w:r>
    </w:p>
    <w:p>
      <w:pPr>
        <w:pStyle w:val="Heading2"/>
      </w:pPr>
      <w:r>
        <w:rPr>
          <w:rFonts w:ascii="微软雅黑" w:hAnsi="微软雅黑"/>
        </w:rPr>
        <w:t>添加 Foundry 媒体集输出（测试版）</w:t>
      </w:r>
    </w:p>
    <w:p>
      <w:pPr>
        <w:spacing w:line="360" w:lineRule="auto" w:after="120"/>
      </w:pPr>
      <w:r>
        <w:rPr>
          <w:rFonts w:ascii="微软雅黑" w:hAnsi="微软雅黑"/>
          <w:sz w:val="21"/>
        </w:rPr>
        <w:t>媒体集输出处于开发的测试阶段，可能无法在您的注册中使用。</w:t>
      </w:r>
    </w:p>
    <w:p>
      <w:pPr>
        <w:spacing w:line="360" w:lineRule="auto" w:after="120"/>
      </w:pPr>
      <w:r>
        <w:rPr>
          <w:rFonts w:ascii="微软雅黑" w:hAnsi="微软雅黑"/>
          <w:sz w:val="21"/>
        </w:rPr>
        <w:t>在使用外部变换来摄取图像、音频或PDF等媒体文件时，您可能希望将文件写入</w:t>
      </w:r>
      <w:r>
        <w:rPr>
          <w:rFonts w:ascii="微软雅黑" w:hAnsi="微软雅黑"/>
          <w:color w:val="0066CC"/>
          <w:sz w:val="21"/>
          <w:u w:val="single"/>
        </w:rPr>
        <w:t>媒体集</w:t>
      </w:r>
      <w:r>
        <w:rPr>
          <w:rFonts w:ascii="微软雅黑" w:hAnsi="微软雅黑"/>
          <w:sz w:val="21"/>
        </w:rPr>
        <w:t>。要将媒体项写入现有媒体集，请以编程方式将项放入指定的媒体集输出中：</w:t>
      </w:r>
    </w:p>
    <w:p>
      <w:pPr>
        <w:spacing w:before="80" w:after="80"/>
        <w:ind w:left="567"/>
      </w:pPr>
      <w:r>
        <w:rPr>
          <w:rFonts w:ascii="Consolas" w:hAnsi="Consolas"/>
          <w:color w:val="505050"/>
          <w:sz w:val="18"/>
        </w:rPr>
        <w:t>from transforms.api import transform</w:t>
        <w:br/>
        <w:t>from transforms.mediasets import MediaSetOutput</w:t>
        <w:br/>
        <w:t>from transforms.external.systems import use_external_systems</w:t>
        <w:br/>
        <w:t>import requests</w:t>
        <w:br/>
        <w:t>import tempfile</w:t>
        <w:br/>
        <w:t># 使用装饰器标记该函数将使用外部系统</w:t>
        <w:br/>
        <w:t>@use_external_systems()</w:t>
        <w:br/>
        <w:t># 使用transform装饰器，指定输出媒体集的路径</w:t>
        <w:br/>
        <w:t>@transform(</w:t>
        <w:br/>
        <w:t xml:space="preserve">    media_set_output=MediaSetOutput('/path/to/output/media/set')</w:t>
        <w:br/>
        <w:t>)</w:t>
        <w:br/>
        <w:t>def compute(media_set_output):</w:t>
        <w:br/>
        <w:t xml:space="preserve">    # 向指定的API URL发送GET请求</w:t>
        <w:br/>
        <w:t xml:space="preserve">    response = requests.get('https://&lt;API URL&gt;')</w:t>
        <w:br/>
        <w:t xml:space="preserve">    # 定义要保存的文件名</w:t>
        <w:br/>
        <w:t xml:space="preserve">    fname = 'my_image.png'</w:t>
        <w:br/>
        <w:t xml:space="preserve">    # 创建一个临时文件</w:t>
        <w:br/>
        <w:t xml:space="preserve">    with tempfile.NamedTemporaryFile() as tmp:</w:t>
        <w:br/>
        <w:t xml:space="preserve">        # 将响应内容写入临时文件</w:t>
        <w:br/>
        <w:t xml:space="preserve">        tmp.write(response.content)</w:t>
        <w:br/>
        <w:t xml:space="preserve">        tmp.flush()  # 确保数据写入到磁盘</w:t>
        <w:br/>
        <w:t xml:space="preserve">        # 以二进制方式读取临时文件</w:t>
        <w:br/>
        <w:t xml:space="preserve">        with open(tmp.name, 'rb') as tmp_read:</w:t>
        <w:br/>
        <w:t xml:space="preserve">            # 将读取的内容作为媒体项存入指定的媒体集输出路径</w:t>
        <w:br/>
        <w:t xml:space="preserve">            media_set_output.put_media_item(tmp_read, path=fname)</w:t>
      </w:r>
    </w:p>
    <w:p>
      <w:pPr>
        <w:pStyle w:val="Heading2"/>
      </w:pPr>
      <w:r>
        <w:rPr>
          <w:rFonts w:ascii="微软雅黑" w:hAnsi="微软雅黑"/>
        </w:rPr>
        <w:t>更多方式连接到外部系统</w:t>
      </w:r>
    </w:p>
    <w:p>
      <w:pPr>
        <w:pStyle w:val="Heading3"/>
      </w:pPr>
      <w:r>
        <w:rPr>
          <w:rFonts w:ascii="微软雅黑" w:hAnsi="微软雅黑"/>
        </w:rPr>
        <w:t>与API服务交互</w:t>
      </w:r>
    </w:p>
    <w:p>
      <w:pPr>
        <w:spacing w:line="360" w:lineRule="auto" w:after="120"/>
      </w:pPr>
      <w:r>
        <w:rPr>
          <w:rFonts w:ascii="微软雅黑" w:hAnsi="微软雅黑"/>
          <w:sz w:val="21"/>
        </w:rPr>
        <w:t>如果外部系统中存在API服务，您可以通过编程方式访问和使用这些API服务。例如，您可以使用外部变换中的</w:t>
      </w:r>
      <w:r>
        <w:rPr>
          <w:rFonts w:ascii="微软雅黑" w:hAnsi="微软雅黑"/>
          <w:color w:val="0066CC"/>
          <w:sz w:val="21"/>
          <w:u w:val="single"/>
        </w:rPr>
        <w:t>Mapbox Static Images API ↗</w:t>
      </w:r>
      <w:r>
        <w:rPr>
          <w:rFonts w:ascii="微软雅黑" w:hAnsi="微软雅黑"/>
          <w:sz w:val="21"/>
        </w:rPr>
        <w:t>将地图图像输出到Foundry数据集中：</w:t>
      </w:r>
    </w:p>
    <w:p>
      <w:pPr>
        <w:spacing w:before="80" w:after="80"/>
        <w:ind w:left="567"/>
      </w:pPr>
      <w:r>
        <w:rPr>
          <w:rFonts w:ascii="Consolas" w:hAnsi="Consolas"/>
          <w:color w:val="505050"/>
          <w:sz w:val="18"/>
        </w:rPr>
        <w:t>from transforms.external.systems import EgressPolicy, use_external_systems, Credential</w:t>
        <w:br/>
        <w:t>from transforms.api import transform, Output</w:t>
        <w:br/>
        <w:t>from mapbox import Static</w:t>
        <w:br/>
        <w:t>@use_external_systems(</w:t>
        <w:br/>
        <w:t xml:space="preserve">    egress=EgressPolicy('&lt;policy RID&gt;'),</w:t>
        <w:br/>
        <w:t xml:space="preserve">    mapbox_creds=Credential('&lt;credential RID&gt;')</w:t>
        <w:br/>
        <w:t>)</w:t>
        <w:br/>
        <w:t>@transform(</w:t>
        <w:br/>
        <w:t xml:space="preserve">    output=Output('/Users/username/datasets/example_mapbox'),</w:t>
        <w:br/>
        <w:t>)</w:t>
        <w:br/>
        <w:t>def compute(output, egress, mapbox_creds):</w:t>
        <w:br/>
        <w:t xml:space="preserve">    # 从凭证中获取 Mapbox 访问令牌</w:t>
        <w:br/>
        <w:t xml:space="preserve">    mapbox_access_token = mapbox_creds.get('mapbox-token')</w:t>
        <w:br/>
        <w:t xml:space="preserve">    # 创建 Mapbox 静态客户端</w:t>
        <w:br/>
        <w:t xml:space="preserve">    client = Static(access_token=mapbox_access_token)</w:t>
        <w:br/>
        <w:t xml:space="preserve">    # 获取伦敦地区的卫星地图图像</w:t>
        <w:br/>
        <w:t xml:space="preserve">    london = client.image('mapbox.satellite', lat=51.5072, lon=0.0, z=12)</w:t>
        <w:br/>
        <w:t xml:space="preserve">    # 将响应码写入日志文件</w:t>
        <w:br/>
        <w:t xml:space="preserve">    with output.filesystem().open('london.log', 'w') as f:</w:t>
        <w:br/>
        <w:t xml:space="preserve">        f.write(f'response code: {london.status_code}')</w:t>
        <w:br/>
        <w:t xml:space="preserve">    # 将图像内容写入文件</w:t>
        <w:br/>
        <w:t xml:space="preserve">    with open('london.png', 'wb') as f:</w:t>
        <w:br/>
        <w:t xml:space="preserve">        f.flush()</w:t>
        <w:br/>
        <w:t xml:space="preserve">    with output.filesystem().open('london.png', 'wb') as f:</w:t>
        <w:br/>
        <w:t xml:space="preserve">        f.write(london.content)</w:t>
      </w:r>
    </w:p>
    <w:p>
      <w:pPr>
        <w:spacing w:line="360" w:lineRule="auto" w:after="120"/>
      </w:pPr>
      <w:r>
        <w:rPr>
          <w:rFonts w:ascii="微软雅黑" w:hAnsi="微软雅黑"/>
          <w:sz w:val="21"/>
        </w:rPr>
        <w:t>这里的代码使用 Mapbox API 获取伦敦地区的卫星地图图像，并将其保存到指定输出路径。代码中使用了外部系统的凭证来获取访问令牌，并且还记录了获取地图图像的响应状态码。</w:t>
      </w:r>
    </w:p>
    <w:p>
      <w:pPr>
        <w:pStyle w:val="Heading3"/>
      </w:pPr>
      <w:r>
        <w:rPr>
          <w:rFonts w:ascii="微软雅黑" w:hAnsi="微软雅黑"/>
        </w:rPr>
        <w:t>与数据集文件交互</w:t>
      </w:r>
    </w:p>
    <w:p>
      <w:pPr>
        <w:spacing w:line="360" w:lineRule="auto" w:after="120"/>
      </w:pPr>
      <w:r>
        <w:rPr>
          <w:rFonts w:ascii="微软雅黑" w:hAnsi="微软雅黑"/>
          <w:sz w:val="21"/>
        </w:rPr>
        <w:t>您可以通过编程方式打开、流式传输和与文件交互，就像使用常规变换一样。了解更多关于</w:t>
      </w:r>
      <w:r>
        <w:rPr>
          <w:rFonts w:ascii="微软雅黑" w:hAnsi="微软雅黑"/>
          <w:color w:val="0066CC"/>
          <w:sz w:val="21"/>
          <w:u w:val="single"/>
        </w:rPr>
        <w:t>读取和写入非结构化文件</w:t>
      </w:r>
      <w:r>
        <w:rPr>
          <w:rFonts w:ascii="微软雅黑" w:hAnsi="微软雅黑"/>
          <w:sz w:val="21"/>
        </w:rPr>
        <w:t>。</w:t>
      </w:r>
    </w:p>
    <w:p>
      <w:pPr>
        <w:pStyle w:val="Heading3"/>
      </w:pPr>
      <w:r>
        <w:rPr>
          <w:rFonts w:ascii="微软雅黑" w:hAnsi="微软雅黑"/>
        </w:rPr>
        <w:t>增量处理</w:t>
      </w:r>
    </w:p>
    <w:p>
      <w:pPr>
        <w:spacing w:line="360" w:lineRule="auto" w:after="120"/>
      </w:pPr>
      <w:r>
        <w:rPr>
          <w:rFonts w:ascii="微软雅黑" w:hAnsi="微软雅黑"/>
          <w:sz w:val="21"/>
        </w:rPr>
        <w:t>您可以像使用常规变换一样增量运行外部变换。</w:t>
      </w:r>
    </w:p>
    <w:p>
      <w:pPr>
        <w:spacing w:line="360" w:lineRule="auto" w:after="120"/>
      </w:pPr>
      <w:r>
        <w:rPr>
          <w:rFonts w:ascii="微软雅黑" w:hAnsi="微软雅黑"/>
          <w:sz w:val="21"/>
        </w:rPr>
        <w:t>在外部增量变换中，经常需要在执行之间保持状态。对于常规增量变换，输入文件会被跟踪并与最近处理的事务进行比较。对于外部增量变换，增量状态必须以其他方式显式存储。一个选项是保存一个状态文件，该文件将保存增量变换的最新状态，如下面的示例所示：</w:t>
      </w:r>
    </w:p>
    <w:p>
      <w:pPr>
        <w:spacing w:before="80" w:after="80"/>
        <w:ind w:left="567"/>
      </w:pPr>
      <w:r>
        <w:rPr>
          <w:rFonts w:ascii="Consolas" w:hAnsi="Consolas"/>
          <w:color w:val="505050"/>
          <w:sz w:val="18"/>
        </w:rPr>
        <w:t>from transforms.api import transform, Input, Output, configure, incremental</w:t>
        <w:br/>
        <w:t>from pyspark.sql import Row</w:t>
        <w:br/>
        <w:t>from pyspark.sql import functions as F</w:t>
        <w:br/>
        <w:t>from pyspark.sql import types as T</w:t>
        <w:br/>
        <w:t>import logging</w:t>
        <w:br/>
        <w:t>import time</w:t>
        <w:br/>
        <w:t>import json</w:t>
        <w:br/>
        <w:t>log = logging.getLogger(__name__)</w:t>
        <w:br/>
        <w:t>@incremental()</w:t>
        <w:br/>
        <w:t>@configure(profile=["KUBERNETES_NO_EXECUTORS"])</w:t>
        <w:br/>
        <w:t>@use_external_systems(</w:t>
        <w:br/>
        <w:t xml:space="preserve">    egress=EgressPolicy('&lt;policy RID&gt;'),</w:t>
        <w:br/>
        <w:t xml:space="preserve">    creds=Credential('&lt;credential RID&gt;')</w:t>
        <w:br/>
        <w:t>)</w:t>
        <w:br/>
        <w:t>@transform(</w:t>
        <w:br/>
        <w:t xml:space="preserve">    out=Output("&lt;output_dataset&gt;"),</w:t>
        <w:br/>
        <w:t>)</w:t>
        <w:br/>
        <w:t>def compute(ctx, out, egress, creds):</w:t>
        <w:br/>
        <w:t xml:space="preserve">    # 获取输出数据集的文件系统，以便读取和写入文件：</w:t>
        <w:br/>
        <w:t xml:space="preserve">    out_fs = out.filesystem()</w:t>
        <w:br/>
        <w:t xml:space="preserve">    state_filename = "_state.json" # 以"_"开头将其视为隐藏文件，不在数据集预览中显示。</w:t>
        <w:br/>
        <w:t xml:space="preserve">    state = {"last_seen" : 0} # 一些任意的初始状态</w:t>
        <w:br/>
        <w:t xml:space="preserve">    # 尝试从输出数据集中获取状态：</w:t>
        <w:br/>
        <w:t xml:space="preserve">    try:</w:t>
        <w:br/>
        <w:t xml:space="preserve">        with out_fs.open(state_filename, mode='r') as state_file:</w:t>
        <w:br/>
        <w:t xml:space="preserve">            data = json.load(state_file)</w:t>
        <w:br/>
        <w:t xml:space="preserve">            # 验证获取的状态：</w:t>
        <w:br/>
        <w:t xml:space="preserve">            state = data</w:t>
        <w:br/>
        <w:t xml:space="preserve">            logging.info(f"state file found, continuing from : {data}")</w:t>
        <w:br/>
        <w:t xml:space="preserve">    except Exception as e:</w:t>
        <w:br/>
        <w:t xml:space="preserve">        logging.warn("state file not found, starting over from default state")</w:t>
        <w:br/>
        <w:t xml:space="preserve">    # 在此处编写逻辑以进行API调用，创建自定义处理，生成数据帧并保存，或直接将文件保存到输出数据集中。</w:t>
        <w:br/>
        <w:t xml:space="preserve">    # 例如，以下生成一个数据帧并将其保存到输出数据集中（就像我们通过API调用获取了一些数据）：</w:t>
        <w:br/>
        <w:t xml:space="preserve">    out.write_dataframe(get_dataframe(ctx))</w:t>
        <w:br/>
        <w:t xml:space="preserve">    # 更新状态以供下次迭代使用：</w:t>
        <w:br/>
        <w:t xml:space="preserve">    state["last_seen"] = 1 + state["last_seen"]</w:t>
        <w:br/>
        <w:t xml:space="preserve">    # 将新的状态保存到输出数据集中：</w:t>
        <w:br/>
        <w:t xml:space="preserve">    with out_fs.open(state_filename, "w") as state_file:</w:t>
        <w:br/>
        <w:t xml:space="preserve">        json.dump(state, state_file)</w:t>
        <w:br/>
        <w:t># 此函数用于示例目的生成一个数据帧。在生产实现中，这一步不相关：</w:t>
        <w:br/>
        <w:t>def get_dataframe(ctx):</w:t>
        <w:br/>
        <w:t xml:space="preserve">    # 定义数据帧的模式：</w:t>
        <w:br/>
        <w:t xml:space="preserve">    schema = T.StructType([</w:t>
        <w:br/>
        <w:t xml:space="preserve">        T.StructField("name", T.StringType(), True),</w:t>
        <w:br/>
        <w:t xml:space="preserve">        T.StructField("age", T.IntegerType(), True),</w:t>
        <w:br/>
        <w:t xml:space="preserve">        T.StructField("city", T.StringType(), True)</w:t>
        <w:br/>
        <w:t xml:space="preserve">    ])</w:t>
        <w:br/>
        <w:t xml:space="preserve">    # 创建行的列表：</w:t>
        <w:br/>
        <w:t xml:space="preserve">    data = [("Alice", 25, "New York"),</w:t>
        <w:br/>
        <w:t xml:space="preserve">            ("Bob", 30, "San Francisco"),</w:t>
        <w:br/>
        <w:t xml:space="preserve">            ("Charlie", 35, "London")]</w:t>
        <w:br/>
        <w:t xml:space="preserve">    # 创建一个PySpark数据帧：</w:t>
        <w:br/>
        <w:t xml:space="preserve">    df = ctx.spark_session.createDataFrame(data, schema=schema)</w:t>
      </w:r>
    </w:p>
    <w:p>
      <w:pPr>
        <w:spacing w:line="360" w:lineRule="auto" w:after="120"/>
      </w:pPr>
      <w:r>
        <w:rPr>
          <w:rFonts w:ascii="微软雅黑" w:hAnsi="微软雅黑"/>
          <w:sz w:val="21"/>
        </w:rPr>
        <w:t>在这个代码中，我们定义了一个增量转换函数</w:t>
      </w:r>
      <w:r>
        <w:rPr>
          <w:rFonts w:ascii="Consolas" w:hAnsi="Consolas"/>
          <w:color w:val="B43C3C"/>
          <w:sz w:val="18"/>
        </w:rPr>
        <w:t>compute</w:t>
      </w:r>
      <w:r>
        <w:rPr>
          <w:rFonts w:ascii="微软雅黑" w:hAnsi="微软雅黑"/>
          <w:sz w:val="21"/>
        </w:rPr>
        <w:t>，它通过配置</w:t>
      </w:r>
      <w:r>
        <w:rPr>
          <w:rFonts w:ascii="Consolas" w:hAnsi="Consolas"/>
          <w:color w:val="B43C3C"/>
          <w:sz w:val="18"/>
        </w:rPr>
        <w:t>KUBERNETES_NO_EXECUTORS</w:t>
      </w:r>
      <w:r>
        <w:rPr>
          <w:rFonts w:ascii="微软雅黑" w:hAnsi="微软雅黑"/>
          <w:sz w:val="21"/>
        </w:rPr>
        <w:t>运行，并使用外部系统进行数据处理。函数尝试从输出数据集中读取状态文件，如果不存在则使用默认状态。接下来，程序逻辑可以包含API调用、数据处理等步骤，当前示例通过</w:t>
      </w:r>
      <w:r>
        <w:rPr>
          <w:rFonts w:ascii="Consolas" w:hAnsi="Consolas"/>
          <w:color w:val="B43C3C"/>
          <w:sz w:val="18"/>
        </w:rPr>
        <w:t>get_dataframe</w:t>
      </w:r>
      <w:r>
        <w:rPr>
          <w:rFonts w:ascii="微软雅黑" w:hAnsi="微软雅黑"/>
          <w:sz w:val="21"/>
        </w:rPr>
        <w:t>函数创建了一个示例数据帧并保存。最后，更新并保存状态文件以备下次调用使用。</w:t>
      </w:r>
    </w:p>
    <w:p>
      <w:r>
        <w:br w:type="page"/>
      </w:r>
    </w:p>
    <w:p>
      <w:pPr>
        <w:pStyle w:val="Heading1"/>
      </w:pPr>
      <w:r>
        <w:rPr>
          <w:rFonts w:ascii="微软雅黑" w:hAnsi="微软雅黑"/>
        </w:rPr>
        <w:t>Flink 基础</w:t>
      </w:r>
    </w:p>
    <w:p>
      <w:pPr>
        <w:spacing w:line="360" w:lineRule="auto" w:after="120"/>
      </w:pPr>
      <w:r>
        <w:rPr>
          <w:rFonts w:ascii="微软雅黑" w:hAnsi="微软雅黑"/>
          <w:sz w:val="21"/>
        </w:rPr>
        <w:t># Flink 基础</w:t>
      </w:r>
    </w:p>
    <w:p>
      <w:pPr>
        <w:spacing w:line="360" w:lineRule="auto" w:after="120"/>
      </w:pPr>
      <w:r>
        <w:rPr>
          <w:rFonts w:ascii="微软雅黑" w:hAnsi="微软雅黑"/>
          <w:sz w:val="21"/>
        </w:rPr>
        <w:t>Apache Flink 是一个分布式计算引擎，能够以低延迟处理无限数据集，使其能够处理常见的流式工作流。Foundry 流使用 Flink 作为底层引擎来执行用户代码和其他平台内流应用程序，例如实时填充 Ontology 和流式时间序列摄取。</w:t>
      </w:r>
    </w:p>
    <w:p>
      <w:pPr>
        <w:spacing w:line="360" w:lineRule="auto" w:after="120"/>
      </w:pPr>
      <w:r>
        <w:rPr>
          <w:rFonts w:ascii="微软雅黑" w:hAnsi="微软雅黑"/>
          <w:sz w:val="21"/>
        </w:rPr>
        <w:t>为了了解您的流应用案例是否需要额外的任务配置，了解 Flink 的工作原理是有帮助的。</w:t>
      </w:r>
    </w:p>
    <w:p>
      <w:pPr>
        <w:spacing w:line="360" w:lineRule="auto" w:after="120"/>
      </w:pPr>
      <w:r>
        <w:rPr>
          <w:rFonts w:ascii="微软雅黑" w:hAnsi="微软雅黑"/>
          <w:sz w:val="21"/>
        </w:rPr>
        <w:t xml:space="preserve">关于 Flink 的更多详细文档可以在 </w:t>
      </w:r>
      <w:r>
        <w:rPr>
          <w:rFonts w:ascii="微软雅黑" w:hAnsi="微软雅黑"/>
          <w:color w:val="0066CC"/>
          <w:sz w:val="21"/>
          <w:u w:val="single"/>
        </w:rPr>
        <w:t>Flink 首页 ↗</w:t>
      </w:r>
      <w:r>
        <w:rPr>
          <w:rFonts w:ascii="微软雅黑" w:hAnsi="微软雅黑"/>
          <w:sz w:val="21"/>
        </w:rPr>
        <w:t xml:space="preserve"> 找到。</w:t>
      </w:r>
    </w:p>
    <w:p>
      <w:pPr>
        <w:pStyle w:val="Heading2"/>
      </w:pPr>
      <w:r>
        <w:rPr>
          <w:rFonts w:ascii="微软雅黑" w:hAnsi="微软雅黑"/>
        </w:rPr>
        <w:t>Flink 任务</w:t>
      </w:r>
    </w:p>
    <w:p>
      <w:pPr>
        <w:spacing w:line="360" w:lineRule="auto" w:after="120"/>
      </w:pPr>
      <w:r>
        <w:rPr>
          <w:rFonts w:ascii="微软雅黑" w:hAnsi="微软雅黑"/>
          <w:sz w:val="21"/>
        </w:rPr>
        <w:t>所有流任务都被描述为一系列作用于一组数据源的操作，并将结果写入数据汇。 这些操作包括诸如聚合、合并和其他行级操作，例如字符串解析或算术。 每个操作在 Flink 中都由</w:t>
      </w:r>
      <w:r>
        <w:rPr>
          <w:rFonts w:ascii="微软雅黑" w:hAnsi="微软雅黑"/>
          <w:b/>
          <w:sz w:val="21"/>
        </w:rPr>
        <w:t>算子</w:t>
      </w:r>
      <w:r>
        <w:rPr>
          <w:rFonts w:ascii="微软雅黑" w:hAnsi="微软雅黑"/>
          <w:sz w:val="21"/>
        </w:rPr>
        <w:t>抽象表示。在 Flink 中，源和汇也由算子描述。</w:t>
      </w:r>
    </w:p>
    <w:p>
      <w:pPr>
        <w:spacing w:line="360" w:lineRule="auto" w:after="120"/>
      </w:pPr>
      <w:r>
        <w:rPr>
          <w:rFonts w:ascii="微软雅黑" w:hAnsi="微软雅黑"/>
          <w:sz w:val="21"/>
        </w:rPr>
        <w:t>Flink 任务在内部以“任务图”或“逻辑图”表示。 任务图是由算子组成的节点构成的有向图，其中边缘定义算子之间的关系。 当一个任务提交到 Flink 时，它会创建任务图。 您的 Flink 任务的任务图预览会在 Foundry 任务跟踪器中的</w:t>
      </w:r>
      <w:r>
        <w:rPr>
          <w:rFonts w:ascii="微软雅黑" w:hAnsi="微软雅黑"/>
          <w:b/>
          <w:sz w:val="21"/>
        </w:rPr>
        <w:t>详情</w:t>
      </w:r>
      <w:r>
        <w:rPr>
          <w:rFonts w:ascii="微软雅黑" w:hAnsi="微软雅黑"/>
          <w:sz w:val="21"/>
        </w:rPr>
        <w:t>部分呈现。</w:t>
      </w:r>
    </w:p>
    <w:p>
      <w:pPr>
        <w:spacing w:line="360" w:lineRule="auto" w:after="120"/>
      </w:pPr>
      <w:r>
        <w:rPr>
          <w:rFonts w:ascii="微软雅黑" w:hAnsi="微软雅黑"/>
          <w:sz w:val="21"/>
        </w:rPr>
        <w:t>在实际执行任务时，Flink 将逻辑图转换为</w:t>
      </w:r>
      <w:r>
        <w:rPr>
          <w:rFonts w:ascii="微软雅黑" w:hAnsi="微软雅黑"/>
          <w:b/>
          <w:sz w:val="21"/>
        </w:rPr>
        <w:t>物理图</w:t>
      </w:r>
      <w:r>
        <w:rPr>
          <w:rFonts w:ascii="微软雅黑" w:hAnsi="微软雅黑"/>
          <w:sz w:val="21"/>
        </w:rPr>
        <w:t>，即算子将在计算运行时上执行的表示。 物理图由</w:t>
      </w:r>
      <w:r>
        <w:rPr>
          <w:rFonts w:ascii="微软雅黑" w:hAnsi="微软雅黑"/>
          <w:b/>
          <w:sz w:val="21"/>
        </w:rPr>
        <w:t>任务</w:t>
      </w:r>
      <w:r>
        <w:rPr>
          <w:rFonts w:ascii="微软雅黑" w:hAnsi="微软雅黑"/>
          <w:sz w:val="21"/>
        </w:rPr>
        <w:t>组成，这是 Flink 任务中的基本工作单元，可以表示一个算子的一个实例或多个算子链。</w:t>
      </w:r>
    </w:p>
    <w:p>
      <w:pPr>
        <w:pStyle w:val="Heading2"/>
      </w:pPr>
      <w:r>
        <w:rPr>
          <w:rFonts w:ascii="微软雅黑" w:hAnsi="微软雅黑"/>
        </w:rPr>
        <w:t>任务管理器和作业管理器</w:t>
      </w:r>
    </w:p>
    <w:p>
      <w:pPr>
        <w:spacing w:line="360" w:lineRule="auto" w:after="120"/>
      </w:pPr>
      <w:r>
        <w:rPr>
          <w:rFonts w:ascii="微软雅黑" w:hAnsi="微软雅黑"/>
          <w:sz w:val="21"/>
        </w:rPr>
        <w:t>与 Spark 类似，Flink 的运行时架构包括不同类型的工作者。 Spark 使用驱动程序来协调和管理任务并使用执行器来执行任务，Flink 使用</w:t>
      </w:r>
      <w:r>
        <w:rPr>
          <w:rFonts w:ascii="微软雅黑" w:hAnsi="微软雅黑"/>
          <w:b/>
          <w:sz w:val="21"/>
        </w:rPr>
        <w:t>任务管理器</w:t>
      </w:r>
      <w:r>
        <w:rPr>
          <w:rFonts w:ascii="微软雅黑" w:hAnsi="微软雅黑"/>
          <w:sz w:val="21"/>
        </w:rPr>
        <w:t>和</w:t>
      </w:r>
      <w:r>
        <w:rPr>
          <w:rFonts w:ascii="微软雅黑" w:hAnsi="微软雅黑"/>
          <w:b/>
          <w:sz w:val="21"/>
        </w:rPr>
        <w:t>作业管理器</w:t>
      </w:r>
      <w:r>
        <w:rPr>
          <w:rFonts w:ascii="微软雅黑" w:hAnsi="微软雅黑"/>
          <w:sz w:val="21"/>
        </w:rPr>
        <w:t>，它们的角色大致类似于 Spark 的驱动程序和执行器。</w:t>
      </w:r>
    </w:p>
    <w:p>
      <w:pPr>
        <w:spacing w:line="360" w:lineRule="auto" w:after="120"/>
      </w:pPr>
      <w:r>
        <w:rPr>
          <w:rFonts w:ascii="微软雅黑" w:hAnsi="微软雅黑"/>
          <w:sz w:val="21"/>
        </w:rPr>
        <w:t>Flink 作业管理器负责调度任务和分配任务资源，处理已完成或失败的任务，协调</w:t>
      </w:r>
      <w:r>
        <w:rPr>
          <w:rFonts w:ascii="微软雅黑" w:hAnsi="微软雅黑"/>
          <w:color w:val="0066CC"/>
          <w:sz w:val="21"/>
          <w:u w:val="single"/>
        </w:rPr>
        <w:t>任务检查点</w:t>
      </w:r>
      <w:r>
        <w:rPr>
          <w:rFonts w:ascii="微软雅黑" w:hAnsi="微软雅黑"/>
          <w:sz w:val="21"/>
        </w:rPr>
        <w:t>和故障恢复，并提供对任务信息的程序化访问。 通常，在任何给定时间，只有一个活跃的作业管理器 - 领导者 - 备用作业管理器在发生不可恢复的错误时保持热备用。</w:t>
      </w:r>
    </w:p>
    <w:p>
      <w:pPr>
        <w:spacing w:line="360" w:lineRule="auto" w:after="120"/>
      </w:pPr>
      <w:r>
        <w:rPr>
          <w:rFonts w:ascii="微软雅黑" w:hAnsi="微软雅黑"/>
          <w:sz w:val="21"/>
        </w:rPr>
        <w:t>Flink 任务管理器负责任务的执行以及在流之间缓冲和交换数据。 总是至少有一个任务管理器，但可能会有更多任务管理器以实现流处理的并行化。 当任务管理器需要处理非常大的记录时，可能需要额外的资源。 如果您的流具有极高的吞吐量，则可能需要增加任务的并行度，这会导致增加任务管理器的数量。</w:t>
      </w:r>
    </w:p>
    <w:p>
      <w:pPr>
        <w:pStyle w:val="Heading2"/>
      </w:pPr>
      <w:r>
        <w:rPr>
          <w:rFonts w:ascii="微软雅黑" w:hAnsi="微软雅黑"/>
        </w:rPr>
        <w:t>任务状态</w:t>
      </w:r>
    </w:p>
    <w:p>
      <w:pPr>
        <w:spacing w:line="360" w:lineRule="auto" w:after="120"/>
      </w:pPr>
      <w:r>
        <w:rPr>
          <w:rFonts w:ascii="微软雅黑" w:hAnsi="微软雅黑"/>
          <w:sz w:val="21"/>
        </w:rPr>
        <w:t>虽然一些 Flink 操作只需要单独查看单个事件，但其他操作需要记住多个事件的信息。 这些是</w:t>
      </w:r>
      <w:r>
        <w:rPr>
          <w:rFonts w:ascii="微软雅黑" w:hAnsi="微软雅黑"/>
          <w:color w:val="0066CC"/>
          <w:sz w:val="21"/>
          <w:u w:val="single"/>
        </w:rPr>
        <w:t>有状态操作</w:t>
      </w:r>
      <w:r>
        <w:rPr>
          <w:rFonts w:ascii="微软雅黑" w:hAnsi="微软雅黑"/>
          <w:sz w:val="21"/>
        </w:rPr>
        <w:t>。 有状态操作的一些例子是：</w:t>
      </w:r>
    </w:p>
    <w:p>
      <w:pPr>
        <w:pStyle w:val="ListBullet"/>
        <w:spacing w:line="360" w:lineRule="auto" w:after="120"/>
      </w:pPr>
      <w:r>
        <w:rPr>
          <w:rFonts w:ascii="微软雅黑" w:hAnsi="微软雅黑"/>
          <w:b/>
          <w:sz w:val="21"/>
        </w:rPr>
        <w:t>聚合：</w:t>
      </w:r>
      <w:r>
        <w:rPr>
          <w:rFonts w:ascii="微软雅黑" w:hAnsi="微软雅黑"/>
          <w:sz w:val="21"/>
        </w:rPr>
        <w:t xml:space="preserve"> 例如，计算滚动五分钟窗口内事件的总数，或计算所有已知事件的运行平均值。</w:t>
      </w:r>
    </w:p>
    <w:p>
      <w:pPr>
        <w:pStyle w:val="ListBullet"/>
        <w:spacing w:line="360" w:lineRule="auto" w:after="120"/>
      </w:pPr>
      <w:r>
        <w:rPr>
          <w:rFonts w:ascii="微软雅黑" w:hAnsi="微软雅黑"/>
          <w:b/>
          <w:sz w:val="21"/>
        </w:rPr>
        <w:t>合并：</w:t>
      </w:r>
      <w:r>
        <w:rPr>
          <w:rFonts w:ascii="微软雅黑" w:hAnsi="微软雅黑"/>
          <w:sz w:val="21"/>
        </w:rPr>
        <w:t xml:space="preserve"> 执行引擎需要了解以前看到的事件，以便将它们与当前正在摄取的事件合并。</w:t>
      </w:r>
    </w:p>
    <w:p>
      <w:pPr>
        <w:spacing w:line="360" w:lineRule="auto" w:after="120"/>
      </w:pPr>
      <w:r>
        <w:rPr>
          <w:rFonts w:ascii="微软雅黑" w:hAnsi="微软雅黑"/>
          <w:sz w:val="21"/>
        </w:rPr>
        <w:t>有状态操作所需的信息称为*任务状态*，Flink 使用状态后端存储这些信息。状态由任务管理器管理和存储，并由作业管理器以</w:t>
      </w:r>
      <w:r>
        <w:rPr>
          <w:rFonts w:ascii="微软雅黑" w:hAnsi="微软雅黑"/>
          <w:color w:val="0066CC"/>
          <w:sz w:val="21"/>
          <w:u w:val="single"/>
        </w:rPr>
        <w:t>检查点</w:t>
      </w:r>
      <w:r>
        <w:rPr>
          <w:rFonts w:ascii="微软雅黑" w:hAnsi="微软雅黑"/>
          <w:sz w:val="21"/>
        </w:rPr>
        <w:t>的形式协调。当您有较大的状态（例如，当聚合或合并具有非常大的窗口时），您的作业管理器和任务管理器可能需要额外的资源。</w:t>
      </w:r>
    </w:p>
    <w:p>
      <w:r>
        <w:br w:type="page"/>
      </w:r>
    </w:p>
    <w:p>
      <w:pPr>
        <w:pStyle w:val="Heading1"/>
      </w:pPr>
      <w:r>
        <w:rPr>
          <w:rFonts w:ascii="微软雅黑" w:hAnsi="微软雅黑"/>
        </w:rPr>
        <w:t>Palantir 提供的 JDBC 源驱动程序</w:t>
      </w:r>
    </w:p>
    <w:p>
      <w:pPr>
        <w:spacing w:line="360" w:lineRule="auto" w:after="120"/>
      </w:pPr>
      <w:r>
        <w:rPr>
          <w:rFonts w:ascii="微软雅黑" w:hAnsi="微软雅黑"/>
          <w:sz w:val="21"/>
        </w:rPr>
        <w:t># Palantir 提供的 JDBC 源驱动程序</w:t>
      </w:r>
    </w:p>
    <w:p>
      <w:pPr>
        <w:spacing w:line="360" w:lineRule="auto" w:after="120"/>
      </w:pPr>
      <w:r>
        <w:rPr>
          <w:rFonts w:ascii="微软雅黑" w:hAnsi="微软雅黑"/>
          <w:sz w:val="21"/>
        </w:rPr>
        <w:t>您可以使用 JDBC 驱动程序将您的 Foundry 注册连接到各种外部源，这些驱动程序在数据连接中显示为 Foundry 源。这些源是 JDBC 驱动程序的包装器，允许进行自定义，并附带推荐和必需的属性以及官方文档的链接。</w:t>
      </w:r>
    </w:p>
    <w:p>
      <w:pPr>
        <w:spacing w:line="360" w:lineRule="auto" w:after="120"/>
      </w:pPr>
      <w:r>
        <w:rPr>
          <w:rFonts w:ascii="微软雅黑" w:hAnsi="微软雅黑"/>
          <w:sz w:val="21"/>
        </w:rPr>
        <w:t>如果您想将自己的 JDBC 驱动程序上传到 Foundry，请查看配置</w:t>
      </w:r>
      <w:r>
        <w:rPr>
          <w:rFonts w:ascii="微软雅黑" w:hAnsi="微软雅黑"/>
          <w:color w:val="0066CC"/>
          <w:sz w:val="21"/>
          <w:u w:val="single"/>
        </w:rPr>
        <w:t>自定义 JDBC 驱动程序</w:t>
      </w:r>
      <w:r>
        <w:rPr>
          <w:rFonts w:ascii="微软雅黑" w:hAnsi="微软雅黑"/>
          <w:sz w:val="21"/>
        </w:rPr>
        <w:t>的文档。</w:t>
      </w:r>
    </w:p>
    <w:p>
      <w:pPr>
        <w:pStyle w:val="Heading2"/>
      </w:pPr>
      <w:r>
        <w:rPr>
          <w:rFonts w:ascii="微软雅黑" w:hAnsi="微软雅黑"/>
        </w:rPr>
        <w:t>设置</w:t>
      </w:r>
    </w:p>
    <w:p>
      <w:pPr>
        <w:pStyle w:val="ListNumber"/>
        <w:spacing w:line="360" w:lineRule="auto" w:after="120"/>
      </w:pPr>
      <w:r>
        <w:rPr>
          <w:rFonts w:ascii="微软雅黑" w:hAnsi="微软雅黑"/>
          <w:sz w:val="21"/>
        </w:rPr>
        <w:t xml:space="preserve">打开数据连接应用程序，并在屏幕右上角选择 </w:t>
      </w:r>
      <w:r>
        <w:rPr>
          <w:rFonts w:ascii="微软雅黑" w:hAnsi="微软雅黑"/>
          <w:b/>
          <w:sz w:val="21"/>
        </w:rPr>
        <w:t>+新建源</w:t>
      </w:r>
      <w:r>
        <w:rPr>
          <w:rFonts w:ascii="微软雅黑" w:hAnsi="微软雅黑"/>
          <w:sz w:val="21"/>
        </w:rPr>
        <w:t>。</w:t>
      </w:r>
    </w:p>
    <w:p>
      <w:pPr>
        <w:pStyle w:val="ListNumber"/>
        <w:spacing w:line="360" w:lineRule="auto" w:after="120"/>
      </w:pPr>
      <w:r>
        <w:rPr>
          <w:rFonts w:ascii="微软雅黑" w:hAnsi="微软雅黑"/>
          <w:sz w:val="21"/>
        </w:rPr>
        <w:t>从列出的选项中找到您的特定源。</w:t>
      </w:r>
      <w:r>
        <w:rPr>
          <w:rFonts w:ascii="微软雅黑" w:hAnsi="微软雅黑"/>
          <w:color w:val="0066CC"/>
          <w:sz w:val="21"/>
          <w:u w:val="single"/>
        </w:rPr>
        <w:t>查看 Palantir 提供的驱动程序的完整列表。</w:t>
      </w:r>
    </w:p>
    <w:p>
      <w:pPr>
        <w:pStyle w:val="ListNumber"/>
        <w:spacing w:line="360" w:lineRule="auto" w:after="120"/>
      </w:pPr>
      <w:r>
        <w:rPr>
          <w:rFonts w:ascii="微软雅黑" w:hAnsi="微软雅黑"/>
          <w:sz w:val="21"/>
        </w:rPr>
        <w:t>选择使用通过互联网的</w:t>
      </w:r>
      <w:r>
        <w:rPr>
          <w:rFonts w:ascii="微软雅黑" w:hAnsi="微软雅黑"/>
          <w:color w:val="0066CC"/>
          <w:sz w:val="21"/>
          <w:u w:val="single"/>
        </w:rPr>
        <w:t>**直接连接**</w:t>
      </w:r>
      <w:r>
        <w:rPr>
          <w:rFonts w:ascii="微软雅黑" w:hAnsi="微软雅黑"/>
          <w:sz w:val="21"/>
        </w:rPr>
        <w:t>或</w:t>
      </w:r>
      <w:r>
        <w:rPr>
          <w:rFonts w:ascii="微软雅黑" w:hAnsi="微软雅黑"/>
          <w:color w:val="0066CC"/>
          <w:sz w:val="21"/>
          <w:u w:val="single"/>
        </w:rPr>
        <w:t>**通过中介代理**</w:t>
      </w:r>
      <w:r>
        <w:rPr>
          <w:rFonts w:ascii="微软雅黑" w:hAnsi="微软雅黑"/>
          <w:sz w:val="21"/>
        </w:rPr>
        <w:t>进行连接。</w:t>
      </w:r>
    </w:p>
    <w:p>
      <w:pPr>
        <w:pStyle w:val="ListNumber"/>
        <w:spacing w:line="360" w:lineRule="auto" w:after="120"/>
      </w:pPr>
      <w:r>
        <w:rPr>
          <w:rFonts w:ascii="微软雅黑" w:hAnsi="微软雅黑"/>
          <w:sz w:val="21"/>
        </w:rPr>
        <w:t xml:space="preserve">选择 </w:t>
      </w:r>
      <w:r>
        <w:rPr>
          <w:rFonts w:ascii="微软雅黑" w:hAnsi="微软雅黑"/>
          <w:b/>
          <w:sz w:val="21"/>
        </w:rPr>
        <w:t>文档 ↗</w:t>
      </w:r>
      <w:r>
        <w:rPr>
          <w:rFonts w:ascii="微软雅黑" w:hAnsi="微软雅黑"/>
          <w:sz w:val="21"/>
        </w:rPr>
        <w:t xml:space="preserve"> 以查看驱动程序源的官方文档。</w:t>
      </w:r>
    </w:p>
    <w:p>
      <w:pPr>
        <w:spacing w:after="40"/>
        <w:jc w:val="center"/>
      </w:pPr>
      <w:r>
        <w:rPr>
          <w:i/>
          <w:color w:val="646464"/>
          <w:sz w:val="18"/>
        </w:rPr>
        <w:t>图：在 Palantir 提供的驱动程序源配置页面中的文档链接</w:t>
      </w:r>
    </w:p>
    <w:p>
      <w:pPr>
        <w:spacing w:before="120" w:after="240"/>
        <w:jc w:val="center"/>
      </w:pPr>
      <w:r>
        <w:drawing>
          <wp:inline xmlns:a="http://schemas.openxmlformats.org/drawingml/2006/main" xmlns:pic="http://schemas.openxmlformats.org/drawingml/2006/picture">
            <wp:extent cx="5029200" cy="731915"/>
            <wp:docPr id="37" name="Picture 37"/>
            <wp:cNvGraphicFramePr>
              <a:graphicFrameLocks noChangeAspect="1"/>
            </wp:cNvGraphicFramePr>
            <a:graphic>
              <a:graphicData uri="http://schemas.openxmlformats.org/drawingml/2006/picture">
                <pic:pic>
                  <pic:nvPicPr>
                    <pic:cNvPr id="0" name="foundry-provided-drivers-docs-link.png"/>
                    <pic:cNvPicPr/>
                  </pic:nvPicPr>
                  <pic:blipFill>
                    <a:blip r:embed="rId44"/>
                    <a:stretch>
                      <a:fillRect/>
                    </a:stretch>
                  </pic:blipFill>
                  <pic:spPr>
                    <a:xfrm>
                      <a:off x="0" y="0"/>
                      <a:ext cx="5029200" cy="731915"/>
                    </a:xfrm>
                    <a:prstGeom prst="rect"/>
                  </pic:spPr>
                </pic:pic>
              </a:graphicData>
            </a:graphic>
          </wp:inline>
        </w:drawing>
      </w:r>
    </w:p>
    <w:p>
      <w:pPr>
        <w:pStyle w:val="ListNumber"/>
        <w:spacing w:line="360" w:lineRule="auto" w:after="120"/>
      </w:pPr>
      <w:r>
        <w:rPr>
          <w:rFonts w:ascii="微软雅黑" w:hAnsi="微软雅黑"/>
          <w:sz w:val="21"/>
        </w:rPr>
        <w:t>按照下面各节中的信息，继续进行连接器的其他配置提示。</w:t>
      </w:r>
    </w:p>
    <w:p>
      <w:pPr>
        <w:pStyle w:val="Heading2"/>
      </w:pPr>
      <w:r>
        <w:rPr>
          <w:rFonts w:ascii="微软雅黑" w:hAnsi="微软雅黑"/>
        </w:rPr>
        <w:t>配置选项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参数</w:t>
            </w:r>
          </w:p>
        </w:tc>
        <w:tc>
          <w:tcPr>
            <w:tcW w:type="dxa" w:w="2967"/>
          </w:tcPr>
          <w:p>
            <w:pPr>
              <w:spacing w:after="40" w:before="40"/>
            </w:pPr>
            <w:r>
              <w:rPr>
                <w:rFonts w:ascii="微软雅黑" w:hAnsi="微软雅黑"/>
                <w:sz w:val="20"/>
              </w:rPr>
              <w:t>必需？</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`URL`</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驱动程序使用的 JDBC URL。预填充了一个模板，可能需要修改以确保正确行为。请参阅源系统的文档以了解 JDBC URL 格式，并查看 [Java 文档 ↗](https://docs.oracle.com/javase/tutorial/jdbc/basics/connecting.html) 以获取更多信息。</w:t>
            </w:r>
          </w:p>
        </w:tc>
      </w:tr>
      <w:tr>
        <w:tc>
          <w:tcPr>
            <w:tcW w:type="dxa" w:w="2967"/>
          </w:tcPr>
          <w:p>
            <w:pPr>
              <w:spacing w:after="40" w:before="40"/>
            </w:pPr>
            <w:r>
              <w:rPr>
                <w:rFonts w:ascii="微软雅黑" w:hAnsi="微软雅黑"/>
                <w:sz w:val="20"/>
              </w:rPr>
              <w:t>`JDBC 属性`</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列出驱动程序需要的所有必需和推荐属性。将鼠标悬停在必需或推荐属性上将允许您导航到官方文档。您可以通过点击 **+ 添加属性** 按钮添加任何其他属性。</w:t>
            </w:r>
          </w:p>
        </w:tc>
      </w:tr>
    </w:tbl>
    <w:p/>
    <w:p>
      <w:pPr>
        <w:pStyle w:val="Heading3"/>
      </w:pPr>
      <w:r>
        <w:rPr>
          <w:rFonts w:ascii="微软雅黑" w:hAnsi="微软雅黑"/>
        </w:rPr>
        <w:t>JDBC 属性</w:t>
      </w:r>
    </w:p>
    <w:p>
      <w:pPr>
        <w:spacing w:line="360" w:lineRule="auto" w:after="120"/>
      </w:pPr>
      <w:r>
        <w:rPr>
          <w:rFonts w:ascii="微软雅黑" w:hAnsi="微软雅黑"/>
          <w:sz w:val="21"/>
        </w:rPr>
        <w:t>您可以向 JDBC 连接添加</w:t>
      </w:r>
      <w:r>
        <w:rPr>
          <w:rFonts w:ascii="微软雅黑" w:hAnsi="微软雅黑"/>
          <w:color w:val="0066CC"/>
          <w:sz w:val="21"/>
          <w:u w:val="single"/>
        </w:rPr>
        <w:t>属性 ↗</w:t>
      </w:r>
      <w:r>
        <w:rPr>
          <w:rFonts w:ascii="微软雅黑" w:hAnsi="微软雅黑"/>
          <w:sz w:val="21"/>
        </w:rPr>
        <w:t xml:space="preserve">以配置行为。某些属性对于特定驱动程序是强制性的。这些强制性属性是默认填充的，必须在您保存源之前设置。您还可以查看推荐的属性，您可以通过选择 </w:t>
      </w:r>
      <w:r>
        <w:rPr>
          <w:rFonts w:ascii="微软雅黑" w:hAnsi="微软雅黑"/>
          <w:b/>
          <w:sz w:val="21"/>
        </w:rPr>
        <w:t>+添加属性</w:t>
      </w:r>
      <w:r>
        <w:rPr>
          <w:rFonts w:ascii="微软雅黑" w:hAnsi="微软雅黑"/>
          <w:sz w:val="21"/>
        </w:rPr>
        <w:t xml:space="preserve"> 并查看 </w:t>
      </w:r>
      <w:r>
        <w:rPr>
          <w:rFonts w:ascii="微软雅黑" w:hAnsi="微软雅黑"/>
          <w:b/>
          <w:sz w:val="21"/>
        </w:rPr>
        <w:t>推荐</w:t>
      </w:r>
      <w:r>
        <w:rPr>
          <w:rFonts w:ascii="微软雅黑" w:hAnsi="微软雅黑"/>
          <w:sz w:val="21"/>
        </w:rPr>
        <w:t xml:space="preserve"> 部分来添加。</w:t>
      </w:r>
    </w:p>
    <w:p>
      <w:pPr>
        <w:spacing w:line="360" w:lineRule="auto" w:after="120"/>
      </w:pPr>
      <w:r>
        <w:rPr>
          <w:rFonts w:ascii="微软雅黑" w:hAnsi="微软雅黑"/>
          <w:sz w:val="21"/>
        </w:rPr>
        <w:t xml:space="preserve">将鼠标悬停在 </w:t>
      </w:r>
      <w:r>
        <w:rPr>
          <w:rFonts w:ascii="Consolas" w:hAnsi="Consolas"/>
          <w:color w:val="B43C3C"/>
          <w:sz w:val="18"/>
        </w:rPr>
        <w:t>必需</w:t>
      </w:r>
      <w:r>
        <w:rPr>
          <w:rFonts w:ascii="微软雅黑" w:hAnsi="微软雅黑"/>
          <w:sz w:val="21"/>
        </w:rPr>
        <w:t xml:space="preserve"> 或 </w:t>
      </w:r>
      <w:r>
        <w:rPr>
          <w:rFonts w:ascii="Consolas" w:hAnsi="Consolas"/>
          <w:color w:val="B43C3C"/>
          <w:sz w:val="18"/>
        </w:rPr>
        <w:t>推荐</w:t>
      </w:r>
      <w:r>
        <w:rPr>
          <w:rFonts w:ascii="微软雅黑" w:hAnsi="微软雅黑"/>
          <w:sz w:val="21"/>
        </w:rPr>
        <w:t xml:space="preserve"> 属性的名称上，以访问所选驱动程序的官方文档页面。</w:t>
      </w:r>
    </w:p>
    <w:p>
      <w:pPr>
        <w:spacing w:after="40"/>
        <w:jc w:val="center"/>
      </w:pPr>
      <w:r>
        <w:rPr>
          <w:i/>
          <w:color w:val="646464"/>
          <w:sz w:val="18"/>
        </w:rPr>
        <w:t>图：当将鼠标悬停在驱动程序名称上时，工具提示中出现的文档链接。</w:t>
      </w:r>
    </w:p>
    <w:p>
      <w:pPr>
        <w:spacing w:before="120" w:after="240"/>
        <w:jc w:val="center"/>
      </w:pPr>
      <w:r>
        <w:drawing>
          <wp:inline xmlns:a="http://schemas.openxmlformats.org/drawingml/2006/main" xmlns:pic="http://schemas.openxmlformats.org/drawingml/2006/picture">
            <wp:extent cx="5029200" cy="1578077"/>
            <wp:docPr id="38" name="Picture 38"/>
            <wp:cNvGraphicFramePr>
              <a:graphicFrameLocks noChangeAspect="1"/>
            </wp:cNvGraphicFramePr>
            <a:graphic>
              <a:graphicData uri="http://schemas.openxmlformats.org/drawingml/2006/picture">
                <pic:pic>
                  <pic:nvPicPr>
                    <pic:cNvPr id="0" name="foundry-provided-drivers-jdbc-property-docs-tooltip.png"/>
                    <pic:cNvPicPr/>
                  </pic:nvPicPr>
                  <pic:blipFill>
                    <a:blip r:embed="rId45"/>
                    <a:stretch>
                      <a:fillRect/>
                    </a:stretch>
                  </pic:blipFill>
                  <pic:spPr>
                    <a:xfrm>
                      <a:off x="0" y="0"/>
                      <a:ext cx="5029200" cy="1578077"/>
                    </a:xfrm>
                    <a:prstGeom prst="rect"/>
                  </pic:spPr>
                </pic:pic>
              </a:graphicData>
            </a:graphic>
          </wp:inline>
        </w:drawing>
      </w:r>
    </w:p>
    <w:p>
      <w:pPr>
        <w:pStyle w:val="Heading2"/>
      </w:pPr>
      <w:r>
        <w:rPr>
          <w:rFonts w:ascii="微软雅黑" w:hAnsi="微软雅黑"/>
        </w:rPr>
        <w:t>配置 Palantir 提供的驱动程序同步</w:t>
      </w:r>
    </w:p>
    <w:p>
      <w:pPr>
        <w:pStyle w:val="Heading3"/>
      </w:pPr>
      <w:r>
        <w:rPr>
          <w:rFonts w:ascii="微软雅黑" w:hAnsi="微软雅黑"/>
        </w:rPr>
        <w:t>SQL 查询</w:t>
      </w:r>
    </w:p>
    <w:p>
      <w:pPr>
        <w:spacing w:line="360" w:lineRule="auto" w:after="120"/>
      </w:pPr>
      <w:r>
        <w:rPr>
          <w:rFonts w:ascii="微软雅黑" w:hAnsi="微软雅黑"/>
          <w:sz w:val="21"/>
        </w:rPr>
        <w:t>每次同步可以执行一个 SQL 查询。此查询应生成一个数据表作为输出，不应执行调用存储过程等操作。查询结果将保存到 Foundry 的输出数据集中。</w:t>
      </w:r>
    </w:p>
    <w:p>
      <w:pPr>
        <w:spacing w:after="40"/>
        <w:jc w:val="center"/>
      </w:pPr>
      <w:r>
        <w:rPr>
          <w:i/>
          <w:color w:val="646464"/>
          <w:sz w:val="18"/>
        </w:rPr>
        <w:t>图：编辑同步 页面中 JDBC 连接器的 SLQ 查询输入。</w:t>
      </w:r>
    </w:p>
    <w:p>
      <w:pPr>
        <w:spacing w:before="120" w:after="240"/>
        <w:jc w:val="center"/>
      </w:pPr>
      <w:r>
        <w:drawing>
          <wp:inline xmlns:a="http://schemas.openxmlformats.org/drawingml/2006/main" xmlns:pic="http://schemas.openxmlformats.org/drawingml/2006/picture">
            <wp:extent cx="5029200" cy="1179688"/>
            <wp:docPr id="39" name="Picture 39"/>
            <wp:cNvGraphicFramePr>
              <a:graphicFrameLocks noChangeAspect="1"/>
            </wp:cNvGraphicFramePr>
            <a:graphic>
              <a:graphicData uri="http://schemas.openxmlformats.org/drawingml/2006/picture">
                <pic:pic>
                  <pic:nvPicPr>
                    <pic:cNvPr id="0" name="jdbc-sql-query.png"/>
                    <pic:cNvPicPr/>
                  </pic:nvPicPr>
                  <pic:blipFill>
                    <a:blip r:embed="rId46"/>
                    <a:stretch>
                      <a:fillRect/>
                    </a:stretch>
                  </pic:blipFill>
                  <pic:spPr>
                    <a:xfrm>
                      <a:off x="0" y="0"/>
                      <a:ext cx="5029200" cy="1179688"/>
                    </a:xfrm>
                    <a:prstGeom prst="rect"/>
                  </pic:spPr>
                </pic:pic>
              </a:graphicData>
            </a:graphic>
          </wp:inline>
        </w:drawing>
      </w:r>
    </w:p>
    <w:p>
      <w:pPr>
        <w:pStyle w:val="Heading2"/>
      </w:pPr>
      <w:r>
        <w:rPr>
          <w:rFonts w:ascii="微软雅黑" w:hAnsi="微软雅黑"/>
        </w:rPr>
        <w:t>CData</w:t>
      </w:r>
    </w:p>
    <w:p>
      <w:pPr>
        <w:spacing w:line="360" w:lineRule="auto" w:after="120"/>
      </w:pPr>
      <w:r>
        <w:rPr>
          <w:rFonts w:ascii="微软雅黑" w:hAnsi="微软雅黑"/>
          <w:sz w:val="21"/>
        </w:rPr>
        <w:t xml:space="preserve">许多 Palantir 提供的驱动程序是由 </w:t>
      </w:r>
      <w:r>
        <w:rPr>
          <w:rFonts w:ascii="微软雅黑" w:hAnsi="微软雅黑"/>
          <w:color w:val="0066CC"/>
          <w:sz w:val="21"/>
          <w:u w:val="single"/>
        </w:rPr>
        <w:t>CData ↗</w:t>
      </w:r>
      <w:r>
        <w:rPr>
          <w:rFonts w:ascii="微软雅黑" w:hAnsi="微软雅黑"/>
          <w:sz w:val="21"/>
        </w:rPr>
        <w:t xml:space="preserve"> 开发的。CData 为每个驱动程序提供完整的文档，包括有关在源系统上生成凭据的详细说明。您可以从任何 CData 驱动程序的文档页面导航到这些说明。</w:t>
      </w:r>
    </w:p>
    <w:p>
      <w:pPr>
        <w:pStyle w:val="Heading2"/>
      </w:pPr>
      <w:r>
        <w:rPr>
          <w:rFonts w:ascii="微软雅黑" w:hAnsi="微软雅黑"/>
        </w:rPr>
        <w:t>可用驱动程序</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驱动程序</w:t>
            </w:r>
          </w:p>
        </w:tc>
      </w:tr>
      <w:tr>
        <w:tc>
          <w:tcPr>
            <w:tcW w:type="dxa" w:w="8902"/>
          </w:tcPr>
          <w:p>
            <w:pPr>
              <w:spacing w:after="40" w:before="40"/>
            </w:pPr>
            <w:r>
              <w:rPr>
                <w:rFonts w:ascii="微软雅黑" w:hAnsi="微软雅黑"/>
                <w:sz w:val="20"/>
              </w:rPr>
              <w:t>Act-On</w:t>
            </w:r>
          </w:p>
        </w:tc>
      </w:tr>
      <w:tr>
        <w:tc>
          <w:tcPr>
            <w:tcW w:type="dxa" w:w="8902"/>
          </w:tcPr>
          <w:p>
            <w:pPr>
              <w:spacing w:after="40" w:before="40"/>
            </w:pPr>
            <w:r>
              <w:rPr>
                <w:rFonts w:ascii="微软雅黑" w:hAnsi="微软雅黑"/>
                <w:sz w:val="20"/>
              </w:rPr>
              <w:t>Act! CRM</w:t>
            </w:r>
          </w:p>
        </w:tc>
      </w:tr>
      <w:tr>
        <w:tc>
          <w:tcPr>
            <w:tcW w:type="dxa" w:w="8902"/>
          </w:tcPr>
          <w:p>
            <w:pPr>
              <w:spacing w:after="40" w:before="40"/>
            </w:pPr>
            <w:r>
              <w:rPr>
                <w:rFonts w:ascii="微软雅黑" w:hAnsi="微软雅黑"/>
                <w:sz w:val="20"/>
              </w:rPr>
              <w:t>ActiveCampaign</w:t>
            </w:r>
          </w:p>
        </w:tc>
      </w:tr>
      <w:tr>
        <w:tc>
          <w:tcPr>
            <w:tcW w:type="dxa" w:w="8902"/>
          </w:tcPr>
          <w:p>
            <w:pPr>
              <w:spacing w:after="40" w:before="40"/>
            </w:pPr>
            <w:r>
              <w:rPr>
                <w:rFonts w:ascii="微软雅黑" w:hAnsi="微软雅黑"/>
                <w:sz w:val="20"/>
              </w:rPr>
              <w:t>Acumatica</w:t>
            </w:r>
          </w:p>
        </w:tc>
      </w:tr>
      <w:tr>
        <w:tc>
          <w:tcPr>
            <w:tcW w:type="dxa" w:w="8902"/>
          </w:tcPr>
          <w:p>
            <w:pPr>
              <w:spacing w:after="40" w:before="40"/>
            </w:pPr>
            <w:r>
              <w:rPr>
                <w:rFonts w:ascii="微软雅黑" w:hAnsi="微软雅黑"/>
                <w:sz w:val="20"/>
              </w:rPr>
              <w:t>Adobe Analytics</w:t>
            </w:r>
          </w:p>
        </w:tc>
      </w:tr>
      <w:tr>
        <w:tc>
          <w:tcPr>
            <w:tcW w:type="dxa" w:w="8902"/>
          </w:tcPr>
          <w:p>
            <w:pPr>
              <w:spacing w:after="40" w:before="40"/>
            </w:pPr>
            <w:r>
              <w:rPr>
                <w:rFonts w:ascii="微软雅黑" w:hAnsi="微软雅黑"/>
                <w:sz w:val="20"/>
              </w:rPr>
              <w:t>Adobe Commerce</w:t>
            </w:r>
          </w:p>
        </w:tc>
      </w:tr>
      <w:tr>
        <w:tc>
          <w:tcPr>
            <w:tcW w:type="dxa" w:w="8902"/>
          </w:tcPr>
          <w:p>
            <w:pPr>
              <w:spacing w:after="40" w:before="40"/>
            </w:pPr>
            <w:r>
              <w:rPr>
                <w:rFonts w:ascii="微软雅黑" w:hAnsi="微软雅黑"/>
                <w:sz w:val="20"/>
              </w:rPr>
              <w:t>ADP</w:t>
            </w:r>
          </w:p>
        </w:tc>
      </w:tr>
      <w:tr>
        <w:tc>
          <w:tcPr>
            <w:tcW w:type="dxa" w:w="8902"/>
          </w:tcPr>
          <w:p>
            <w:pPr>
              <w:spacing w:after="40" w:before="40"/>
            </w:pPr>
            <w:r>
              <w:rPr>
                <w:rFonts w:ascii="微软雅黑" w:hAnsi="微软雅黑"/>
                <w:sz w:val="20"/>
              </w:rPr>
              <w:t>Airtable</w:t>
            </w:r>
          </w:p>
        </w:tc>
      </w:tr>
      <w:tr>
        <w:tc>
          <w:tcPr>
            <w:tcW w:type="dxa" w:w="8902"/>
          </w:tcPr>
          <w:p>
            <w:pPr>
              <w:spacing w:after="40" w:before="40"/>
            </w:pPr>
            <w:r>
              <w:rPr>
                <w:rFonts w:ascii="微软雅黑" w:hAnsi="微软雅黑"/>
                <w:sz w:val="20"/>
              </w:rPr>
              <w:t>AlloyDB</w:t>
            </w:r>
          </w:p>
        </w:tc>
      </w:tr>
      <w:tr>
        <w:tc>
          <w:tcPr>
            <w:tcW w:type="dxa" w:w="8902"/>
          </w:tcPr>
          <w:p>
            <w:pPr>
              <w:spacing w:after="40" w:before="40"/>
            </w:pPr>
            <w:r>
              <w:rPr>
                <w:rFonts w:ascii="微软雅黑" w:hAnsi="微软雅黑"/>
                <w:sz w:val="20"/>
              </w:rPr>
              <w:t>Amazon DynamoDB</w:t>
            </w:r>
          </w:p>
        </w:tc>
      </w:tr>
      <w:tr>
        <w:tc>
          <w:tcPr>
            <w:tcW w:type="dxa" w:w="8902"/>
          </w:tcPr>
          <w:p>
            <w:pPr>
              <w:spacing w:after="40" w:before="40"/>
            </w:pPr>
            <w:r>
              <w:rPr>
                <w:rFonts w:ascii="微软雅黑" w:hAnsi="微软雅黑"/>
                <w:sz w:val="20"/>
              </w:rPr>
              <w:t>Amazon Marketplace</w:t>
            </w:r>
          </w:p>
        </w:tc>
      </w:tr>
      <w:tr>
        <w:tc>
          <w:tcPr>
            <w:tcW w:type="dxa" w:w="8902"/>
          </w:tcPr>
          <w:p>
            <w:pPr>
              <w:spacing w:after="40" w:before="40"/>
            </w:pPr>
            <w:r>
              <w:rPr>
                <w:rFonts w:ascii="微软雅黑" w:hAnsi="微软雅黑"/>
                <w:sz w:val="20"/>
              </w:rPr>
              <w:t>Apache CouchDB</w:t>
            </w:r>
          </w:p>
        </w:tc>
      </w:tr>
      <w:tr>
        <w:tc>
          <w:tcPr>
            <w:tcW w:type="dxa" w:w="8902"/>
          </w:tcPr>
          <w:p>
            <w:pPr>
              <w:spacing w:after="40" w:before="40"/>
            </w:pPr>
            <w:r>
              <w:rPr>
                <w:rFonts w:ascii="微软雅黑" w:hAnsi="微软雅黑"/>
                <w:sz w:val="20"/>
              </w:rPr>
              <w:t>Apache HBase</w:t>
            </w:r>
          </w:p>
        </w:tc>
      </w:tr>
      <w:tr>
        <w:tc>
          <w:tcPr>
            <w:tcW w:type="dxa" w:w="8902"/>
          </w:tcPr>
          <w:p>
            <w:pPr>
              <w:spacing w:after="40" w:before="40"/>
            </w:pPr>
            <w:r>
              <w:rPr>
                <w:rFonts w:ascii="微软雅黑" w:hAnsi="微软雅黑"/>
                <w:sz w:val="20"/>
              </w:rPr>
              <w:t>Apache Hive</w:t>
            </w:r>
          </w:p>
        </w:tc>
      </w:tr>
      <w:tr>
        <w:tc>
          <w:tcPr>
            <w:tcW w:type="dxa" w:w="8902"/>
          </w:tcPr>
          <w:p>
            <w:pPr>
              <w:spacing w:after="40" w:before="40"/>
            </w:pPr>
            <w:r>
              <w:rPr>
                <w:rFonts w:ascii="微软雅黑" w:hAnsi="微软雅黑"/>
                <w:sz w:val="20"/>
              </w:rPr>
              <w:t>Apache Phoenix</w:t>
            </w:r>
          </w:p>
        </w:tc>
      </w:tr>
      <w:tr>
        <w:tc>
          <w:tcPr>
            <w:tcW w:type="dxa" w:w="8902"/>
          </w:tcPr>
          <w:p>
            <w:pPr>
              <w:spacing w:after="40" w:before="40"/>
            </w:pPr>
            <w:r>
              <w:rPr>
                <w:rFonts w:ascii="微软雅黑" w:hAnsi="微软雅黑"/>
                <w:sz w:val="20"/>
              </w:rPr>
              <w:t>Authorize.Net</w:t>
            </w:r>
          </w:p>
        </w:tc>
      </w:tr>
      <w:tr>
        <w:tc>
          <w:tcPr>
            <w:tcW w:type="dxa" w:w="8902"/>
          </w:tcPr>
          <w:p>
            <w:pPr>
              <w:spacing w:after="40" w:before="40"/>
            </w:pPr>
            <w:r>
              <w:rPr>
                <w:rFonts w:ascii="微软雅黑" w:hAnsi="微软雅黑"/>
                <w:sz w:val="20"/>
              </w:rPr>
              <w:t>Avalara</w:t>
            </w:r>
          </w:p>
        </w:tc>
      </w:tr>
      <w:tr>
        <w:tc>
          <w:tcPr>
            <w:tcW w:type="dxa" w:w="8902"/>
          </w:tcPr>
          <w:p>
            <w:pPr>
              <w:spacing w:after="40" w:before="40"/>
            </w:pPr>
            <w:r>
              <w:rPr>
                <w:rFonts w:ascii="微软雅黑" w:hAnsi="微软雅黑"/>
                <w:sz w:val="20"/>
              </w:rPr>
              <w:t>Azure Active Directory</w:t>
            </w:r>
          </w:p>
        </w:tc>
      </w:tr>
      <w:tr>
        <w:tc>
          <w:tcPr>
            <w:tcW w:type="dxa" w:w="8902"/>
          </w:tcPr>
          <w:p>
            <w:pPr>
              <w:spacing w:after="40" w:before="40"/>
            </w:pPr>
            <w:r>
              <w:rPr>
                <w:rFonts w:ascii="微软雅黑" w:hAnsi="微软雅黑"/>
                <w:sz w:val="20"/>
              </w:rPr>
              <w:t>Azure Cosmos DB</w:t>
            </w:r>
          </w:p>
        </w:tc>
      </w:tr>
      <w:tr>
        <w:tc>
          <w:tcPr>
            <w:tcW w:type="dxa" w:w="8902"/>
          </w:tcPr>
          <w:p>
            <w:pPr>
              <w:spacing w:after="40" w:before="40"/>
            </w:pPr>
            <w:r>
              <w:rPr>
                <w:rFonts w:ascii="微软雅黑" w:hAnsi="微软雅黑"/>
                <w:sz w:val="20"/>
              </w:rPr>
              <w:t>Azure Data Catalog</w:t>
            </w:r>
          </w:p>
        </w:tc>
      </w:tr>
      <w:tr>
        <w:tc>
          <w:tcPr>
            <w:tcW w:type="dxa" w:w="8902"/>
          </w:tcPr>
          <w:p>
            <w:pPr>
              <w:spacing w:after="40" w:before="40"/>
            </w:pPr>
            <w:r>
              <w:rPr>
                <w:rFonts w:ascii="微软雅黑" w:hAnsi="微软雅黑"/>
                <w:sz w:val="20"/>
              </w:rPr>
              <w:t>Azure DevOps</w:t>
            </w:r>
          </w:p>
        </w:tc>
      </w:tr>
      <w:tr>
        <w:tc>
          <w:tcPr>
            <w:tcW w:type="dxa" w:w="8902"/>
          </w:tcPr>
          <w:p>
            <w:pPr>
              <w:spacing w:after="40" w:before="40"/>
            </w:pPr>
            <w:r>
              <w:rPr>
                <w:rFonts w:ascii="微软雅黑" w:hAnsi="微软雅黑"/>
                <w:sz w:val="20"/>
              </w:rPr>
              <w:t>Azure Synapse</w:t>
            </w:r>
          </w:p>
        </w:tc>
      </w:tr>
      <w:tr>
        <w:tc>
          <w:tcPr>
            <w:tcW w:type="dxa" w:w="8902"/>
          </w:tcPr>
          <w:p>
            <w:pPr>
              <w:spacing w:after="40" w:before="40"/>
            </w:pPr>
            <w:r>
              <w:rPr>
                <w:rFonts w:ascii="微软雅黑" w:hAnsi="微软雅黑"/>
                <w:sz w:val="20"/>
              </w:rPr>
              <w:t>Azure Table Storage</w:t>
            </w:r>
          </w:p>
        </w:tc>
      </w:tr>
      <w:tr>
        <w:tc>
          <w:tcPr>
            <w:tcW w:type="dxa" w:w="8902"/>
          </w:tcPr>
          <w:p>
            <w:pPr>
              <w:spacing w:after="40" w:before="40"/>
            </w:pPr>
            <w:r>
              <w:rPr>
                <w:rFonts w:ascii="微软雅黑" w:hAnsi="微软雅黑"/>
                <w:sz w:val="20"/>
              </w:rPr>
              <w:t>Basecamp</w:t>
            </w:r>
          </w:p>
        </w:tc>
      </w:tr>
      <w:tr>
        <w:tc>
          <w:tcPr>
            <w:tcW w:type="dxa" w:w="8902"/>
          </w:tcPr>
          <w:p>
            <w:pPr>
              <w:spacing w:after="40" w:before="40"/>
            </w:pPr>
            <w:r>
              <w:rPr>
                <w:rFonts w:ascii="微软雅黑" w:hAnsi="微软雅黑"/>
                <w:sz w:val="20"/>
              </w:rPr>
              <w:t>BigCommerce</w:t>
            </w:r>
          </w:p>
        </w:tc>
      </w:tr>
      <w:tr>
        <w:tc>
          <w:tcPr>
            <w:tcW w:type="dxa" w:w="8902"/>
          </w:tcPr>
          <w:p>
            <w:pPr>
              <w:spacing w:after="40" w:before="40"/>
            </w:pPr>
            <w:r>
              <w:rPr>
                <w:rFonts w:ascii="微软雅黑" w:hAnsi="微软雅黑"/>
                <w:sz w:val="20"/>
              </w:rPr>
              <w:t>Blackbaud Raisers Edge NXT</w:t>
            </w:r>
          </w:p>
        </w:tc>
      </w:tr>
      <w:tr>
        <w:tc>
          <w:tcPr>
            <w:tcW w:type="dxa" w:w="8902"/>
          </w:tcPr>
          <w:p>
            <w:pPr>
              <w:spacing w:after="40" w:before="40"/>
            </w:pPr>
            <w:r>
              <w:rPr>
                <w:rFonts w:ascii="微软雅黑" w:hAnsi="微软雅黑"/>
                <w:sz w:val="20"/>
              </w:rPr>
              <w:t>Box</w:t>
            </w:r>
          </w:p>
        </w:tc>
      </w:tr>
      <w:tr>
        <w:tc>
          <w:tcPr>
            <w:tcW w:type="dxa" w:w="8902"/>
          </w:tcPr>
          <w:p>
            <w:pPr>
              <w:spacing w:after="40" w:before="40"/>
            </w:pPr>
            <w:r>
              <w:rPr>
                <w:rFonts w:ascii="微软雅黑" w:hAnsi="微软雅黑"/>
                <w:sz w:val="20"/>
              </w:rPr>
              <w:t>Bugzilla</w:t>
            </w:r>
          </w:p>
        </w:tc>
      </w:tr>
      <w:tr>
        <w:tc>
          <w:tcPr>
            <w:tcW w:type="dxa" w:w="8902"/>
          </w:tcPr>
          <w:p>
            <w:pPr>
              <w:spacing w:after="40" w:before="40"/>
            </w:pPr>
            <w:r>
              <w:rPr>
                <w:rFonts w:ascii="微软雅黑" w:hAnsi="微软雅黑"/>
                <w:sz w:val="20"/>
              </w:rPr>
              <w:t>Bullhorn CRM</w:t>
            </w:r>
          </w:p>
        </w:tc>
      </w:tr>
      <w:tr>
        <w:tc>
          <w:tcPr>
            <w:tcW w:type="dxa" w:w="8902"/>
          </w:tcPr>
          <w:p>
            <w:pPr>
              <w:spacing w:after="40" w:before="40"/>
            </w:pPr>
            <w:r>
              <w:rPr>
                <w:rFonts w:ascii="微软雅黑" w:hAnsi="微软雅黑"/>
                <w:sz w:val="20"/>
              </w:rPr>
              <w:t>Cassandra</w:t>
            </w:r>
          </w:p>
        </w:tc>
      </w:tr>
      <w:tr>
        <w:tc>
          <w:tcPr>
            <w:tcW w:type="dxa" w:w="8902"/>
          </w:tcPr>
          <w:p>
            <w:pPr>
              <w:spacing w:after="40" w:before="40"/>
            </w:pPr>
            <w:r>
              <w:rPr>
                <w:rFonts w:ascii="微软雅黑" w:hAnsi="微软雅黑"/>
                <w:sz w:val="20"/>
              </w:rPr>
              <w:t>Certinia</w:t>
            </w:r>
          </w:p>
        </w:tc>
      </w:tr>
      <w:tr>
        <w:tc>
          <w:tcPr>
            <w:tcW w:type="dxa" w:w="8902"/>
          </w:tcPr>
          <w:p>
            <w:pPr>
              <w:spacing w:after="40" w:before="40"/>
            </w:pPr>
            <w:r>
              <w:rPr>
                <w:rFonts w:ascii="微软雅黑" w:hAnsi="微软雅黑"/>
                <w:sz w:val="20"/>
              </w:rPr>
              <w:t>ClickHouse</w:t>
            </w:r>
          </w:p>
        </w:tc>
      </w:tr>
      <w:tr>
        <w:tc>
          <w:tcPr>
            <w:tcW w:type="dxa" w:w="8902"/>
          </w:tcPr>
          <w:p>
            <w:pPr>
              <w:spacing w:after="40" w:before="40"/>
            </w:pPr>
            <w:r>
              <w:rPr>
                <w:rFonts w:ascii="微软雅黑" w:hAnsi="微软雅黑"/>
                <w:sz w:val="20"/>
              </w:rPr>
              <w:t>Cloudant</w:t>
            </w:r>
          </w:p>
        </w:tc>
      </w:tr>
      <w:tr>
        <w:tc>
          <w:tcPr>
            <w:tcW w:type="dxa" w:w="8902"/>
          </w:tcPr>
          <w:p>
            <w:pPr>
              <w:spacing w:after="40" w:before="40"/>
            </w:pPr>
            <w:r>
              <w:rPr>
                <w:rFonts w:ascii="微软雅黑" w:hAnsi="微软雅黑"/>
                <w:sz w:val="20"/>
              </w:rPr>
              <w:t>CockroachDB</w:t>
            </w:r>
          </w:p>
        </w:tc>
      </w:tr>
      <w:tr>
        <w:tc>
          <w:tcPr>
            <w:tcW w:type="dxa" w:w="8902"/>
          </w:tcPr>
          <w:p>
            <w:pPr>
              <w:spacing w:after="40" w:before="40"/>
            </w:pPr>
            <w:r>
              <w:rPr>
                <w:rFonts w:ascii="微软雅黑" w:hAnsi="微软雅黑"/>
                <w:sz w:val="20"/>
              </w:rPr>
              <w:t>Confluence</w:t>
            </w:r>
          </w:p>
        </w:tc>
      </w:tr>
      <w:tr>
        <w:tc>
          <w:tcPr>
            <w:tcW w:type="dxa" w:w="8902"/>
          </w:tcPr>
          <w:p>
            <w:pPr>
              <w:spacing w:after="40" w:before="40"/>
            </w:pPr>
            <w:r>
              <w:rPr>
                <w:rFonts w:ascii="微软雅黑" w:hAnsi="微软雅黑"/>
                <w:sz w:val="20"/>
              </w:rPr>
              <w:t>Couchbase</w:t>
            </w:r>
          </w:p>
        </w:tc>
      </w:tr>
      <w:tr>
        <w:tc>
          <w:tcPr>
            <w:tcW w:type="dxa" w:w="8902"/>
          </w:tcPr>
          <w:p>
            <w:pPr>
              <w:spacing w:after="40" w:before="40"/>
            </w:pPr>
            <w:r>
              <w:rPr>
                <w:rFonts w:ascii="微软雅黑" w:hAnsi="微软雅黑"/>
                <w:sz w:val="20"/>
              </w:rPr>
              <w:t>DocuSign</w:t>
            </w:r>
          </w:p>
        </w:tc>
      </w:tr>
      <w:tr>
        <w:tc>
          <w:tcPr>
            <w:tcW w:type="dxa" w:w="8902"/>
          </w:tcPr>
          <w:p>
            <w:pPr>
              <w:spacing w:after="40" w:before="40"/>
            </w:pPr>
            <w:r>
              <w:rPr>
                <w:rFonts w:ascii="微软雅黑" w:hAnsi="微软雅黑"/>
                <w:sz w:val="20"/>
              </w:rPr>
              <w:t>Domino</w:t>
            </w:r>
          </w:p>
        </w:tc>
      </w:tr>
      <w:tr>
        <w:tc>
          <w:tcPr>
            <w:tcW w:type="dxa" w:w="8902"/>
          </w:tcPr>
          <w:p>
            <w:pPr>
              <w:spacing w:after="40" w:before="40"/>
            </w:pPr>
            <w:r>
              <w:rPr>
                <w:rFonts w:ascii="微软雅黑" w:hAnsi="微软雅黑"/>
                <w:sz w:val="20"/>
              </w:rPr>
              <w:t>Dropbox</w:t>
            </w:r>
          </w:p>
        </w:tc>
      </w:tr>
      <w:tr>
        <w:tc>
          <w:tcPr>
            <w:tcW w:type="dxa" w:w="8902"/>
          </w:tcPr>
          <w:p>
            <w:pPr>
              <w:spacing w:after="40" w:before="40"/>
            </w:pPr>
            <w:r>
              <w:rPr>
                <w:rFonts w:ascii="微软雅黑" w:hAnsi="微软雅黑"/>
                <w:sz w:val="20"/>
              </w:rPr>
              <w:t>eBay</w:t>
            </w:r>
          </w:p>
        </w:tc>
      </w:tr>
      <w:tr>
        <w:tc>
          <w:tcPr>
            <w:tcW w:type="dxa" w:w="8902"/>
          </w:tcPr>
          <w:p>
            <w:pPr>
              <w:spacing w:after="40" w:before="40"/>
            </w:pPr>
            <w:r>
              <w:rPr>
                <w:rFonts w:ascii="微软雅黑" w:hAnsi="微软雅黑"/>
                <w:sz w:val="20"/>
              </w:rPr>
              <w:t>eBay Analytics</w:t>
            </w:r>
          </w:p>
        </w:tc>
      </w:tr>
      <w:tr>
        <w:tc>
          <w:tcPr>
            <w:tcW w:type="dxa" w:w="8902"/>
          </w:tcPr>
          <w:p>
            <w:pPr>
              <w:spacing w:after="40" w:before="40"/>
            </w:pPr>
            <w:r>
              <w:rPr>
                <w:rFonts w:ascii="微软雅黑" w:hAnsi="微软雅黑"/>
                <w:sz w:val="20"/>
              </w:rPr>
              <w:t>EnterpriseDB</w:t>
            </w:r>
          </w:p>
        </w:tc>
      </w:tr>
      <w:tr>
        <w:tc>
          <w:tcPr>
            <w:tcW w:type="dxa" w:w="8902"/>
          </w:tcPr>
          <w:p>
            <w:pPr>
              <w:spacing w:after="40" w:before="40"/>
            </w:pPr>
            <w:r>
              <w:rPr>
                <w:rFonts w:ascii="微软雅黑" w:hAnsi="微软雅黑"/>
                <w:sz w:val="20"/>
              </w:rPr>
              <w:t>Epicor Kinetic</w:t>
            </w:r>
          </w:p>
        </w:tc>
      </w:tr>
      <w:tr>
        <w:tc>
          <w:tcPr>
            <w:tcW w:type="dxa" w:w="8902"/>
          </w:tcPr>
          <w:p>
            <w:pPr>
              <w:spacing w:after="40" w:before="40"/>
            </w:pPr>
            <w:r>
              <w:rPr>
                <w:rFonts w:ascii="微软雅黑" w:hAnsi="微软雅黑"/>
                <w:sz w:val="20"/>
              </w:rPr>
              <w:t>Exact Online</w:t>
            </w:r>
          </w:p>
        </w:tc>
      </w:tr>
      <w:tr>
        <w:tc>
          <w:tcPr>
            <w:tcW w:type="dxa" w:w="8902"/>
          </w:tcPr>
          <w:p>
            <w:pPr>
              <w:spacing w:after="40" w:before="40"/>
            </w:pPr>
            <w:r>
              <w:rPr>
                <w:rFonts w:ascii="微软雅黑" w:hAnsi="微软雅黑"/>
                <w:sz w:val="20"/>
              </w:rPr>
              <w:t>Facebook</w:t>
            </w:r>
          </w:p>
        </w:tc>
      </w:tr>
      <w:tr>
        <w:tc>
          <w:tcPr>
            <w:tcW w:type="dxa" w:w="8902"/>
          </w:tcPr>
          <w:p>
            <w:pPr>
              <w:spacing w:after="40" w:before="40"/>
            </w:pPr>
            <w:r>
              <w:rPr>
                <w:rFonts w:ascii="微软雅黑" w:hAnsi="微软雅黑"/>
                <w:sz w:val="20"/>
              </w:rPr>
              <w:t>Facebook Ads</w:t>
            </w:r>
          </w:p>
        </w:tc>
      </w:tr>
      <w:tr>
        <w:tc>
          <w:tcPr>
            <w:tcW w:type="dxa" w:w="8902"/>
          </w:tcPr>
          <w:p>
            <w:pPr>
              <w:spacing w:after="40" w:before="40"/>
            </w:pPr>
            <w:r>
              <w:rPr>
                <w:rFonts w:ascii="微软雅黑" w:hAnsi="微软雅黑"/>
                <w:sz w:val="20"/>
              </w:rPr>
              <w:t>FreshBooks</w:t>
            </w:r>
          </w:p>
        </w:tc>
      </w:tr>
      <w:tr>
        <w:tc>
          <w:tcPr>
            <w:tcW w:type="dxa" w:w="8902"/>
          </w:tcPr>
          <w:p>
            <w:pPr>
              <w:spacing w:after="40" w:before="40"/>
            </w:pPr>
            <w:r>
              <w:rPr>
                <w:rFonts w:ascii="微软雅黑" w:hAnsi="微软雅黑"/>
                <w:sz w:val="20"/>
              </w:rPr>
              <w:t>Freshdesk</w:t>
            </w:r>
          </w:p>
        </w:tc>
      </w:tr>
      <w:tr>
        <w:tc>
          <w:tcPr>
            <w:tcW w:type="dxa" w:w="8902"/>
          </w:tcPr>
          <w:p>
            <w:pPr>
              <w:spacing w:after="40" w:before="40"/>
            </w:pPr>
            <w:r>
              <w:rPr>
                <w:rFonts w:ascii="微软雅黑" w:hAnsi="微软雅黑"/>
                <w:sz w:val="20"/>
              </w:rPr>
              <w:t>GitHub</w:t>
            </w:r>
          </w:p>
        </w:tc>
      </w:tr>
      <w:tr>
        <w:tc>
          <w:tcPr>
            <w:tcW w:type="dxa" w:w="8902"/>
          </w:tcPr>
          <w:p>
            <w:pPr>
              <w:spacing w:after="40" w:before="40"/>
            </w:pPr>
            <w:r>
              <w:rPr>
                <w:rFonts w:ascii="微软雅黑" w:hAnsi="微软雅黑"/>
                <w:sz w:val="20"/>
              </w:rPr>
              <w:t>Gmail</w:t>
            </w:r>
          </w:p>
        </w:tc>
      </w:tr>
      <w:tr>
        <w:tc>
          <w:tcPr>
            <w:tcW w:type="dxa" w:w="8902"/>
          </w:tcPr>
          <w:p>
            <w:pPr>
              <w:spacing w:after="40" w:before="40"/>
            </w:pPr>
            <w:r>
              <w:rPr>
                <w:rFonts w:ascii="微软雅黑" w:hAnsi="微软雅黑"/>
                <w:sz w:val="20"/>
              </w:rPr>
              <w:t>Google Campaign Manager</w:t>
            </w:r>
          </w:p>
        </w:tc>
      </w:tr>
      <w:tr>
        <w:tc>
          <w:tcPr>
            <w:tcW w:type="dxa" w:w="8902"/>
          </w:tcPr>
          <w:p>
            <w:pPr>
              <w:spacing w:after="40" w:before="40"/>
            </w:pPr>
            <w:r>
              <w:rPr>
                <w:rFonts w:ascii="微软雅黑" w:hAnsi="微软雅黑"/>
                <w:sz w:val="20"/>
              </w:rPr>
              <w:t>Google Contacts</w:t>
            </w:r>
          </w:p>
        </w:tc>
      </w:tr>
      <w:tr>
        <w:tc>
          <w:tcPr>
            <w:tcW w:type="dxa" w:w="8902"/>
          </w:tcPr>
          <w:p>
            <w:pPr>
              <w:spacing w:after="40" w:before="40"/>
            </w:pPr>
            <w:r>
              <w:rPr>
                <w:rFonts w:ascii="微软雅黑" w:hAnsi="微软雅黑"/>
                <w:sz w:val="20"/>
              </w:rPr>
              <w:t>Google Data Catalog</w:t>
            </w:r>
          </w:p>
        </w:tc>
      </w:tr>
      <w:tr>
        <w:tc>
          <w:tcPr>
            <w:tcW w:type="dxa" w:w="8902"/>
          </w:tcPr>
          <w:p>
            <w:pPr>
              <w:spacing w:after="40" w:before="40"/>
            </w:pPr>
            <w:r>
              <w:rPr>
                <w:rFonts w:ascii="微软雅黑" w:hAnsi="微软雅黑"/>
                <w:sz w:val="20"/>
              </w:rPr>
              <w:t>Google Directory</w:t>
            </w:r>
          </w:p>
        </w:tc>
      </w:tr>
      <w:tr>
        <w:tc>
          <w:tcPr>
            <w:tcW w:type="dxa" w:w="8902"/>
          </w:tcPr>
          <w:p>
            <w:pPr>
              <w:spacing w:after="40" w:before="40"/>
            </w:pPr>
            <w:r>
              <w:rPr>
                <w:rFonts w:ascii="微软雅黑" w:hAnsi="微软雅黑"/>
                <w:sz w:val="20"/>
              </w:rPr>
              <w:t>Google Drive</w:t>
            </w:r>
          </w:p>
        </w:tc>
      </w:tr>
      <w:tr>
        <w:tc>
          <w:tcPr>
            <w:tcW w:type="dxa" w:w="8902"/>
          </w:tcPr>
          <w:p>
            <w:pPr>
              <w:spacing w:after="40" w:before="40"/>
            </w:pPr>
            <w:r>
              <w:rPr>
                <w:rFonts w:ascii="微软雅黑" w:hAnsi="微软雅黑"/>
                <w:sz w:val="20"/>
              </w:rPr>
              <w:t>Google Search</w:t>
            </w:r>
          </w:p>
        </w:tc>
      </w:tr>
      <w:tr>
        <w:tc>
          <w:tcPr>
            <w:tcW w:type="dxa" w:w="8902"/>
          </w:tcPr>
          <w:p>
            <w:pPr>
              <w:spacing w:after="40" w:before="40"/>
            </w:pPr>
            <w:r>
              <w:rPr>
                <w:rFonts w:ascii="微软雅黑" w:hAnsi="微软雅黑"/>
                <w:sz w:val="20"/>
              </w:rPr>
              <w:t>Google Spanner</w:t>
            </w:r>
          </w:p>
        </w:tc>
      </w:tr>
      <w:tr>
        <w:tc>
          <w:tcPr>
            <w:tcW w:type="dxa" w:w="8902"/>
          </w:tcPr>
          <w:p>
            <w:pPr>
              <w:spacing w:after="40" w:before="40"/>
            </w:pPr>
            <w:r>
              <w:rPr>
                <w:rFonts w:ascii="微软雅黑" w:hAnsi="微软雅黑"/>
                <w:sz w:val="20"/>
              </w:rPr>
              <w:t>GraphQL</w:t>
            </w:r>
          </w:p>
        </w:tc>
      </w:tr>
      <w:tr>
        <w:tc>
          <w:tcPr>
            <w:tcW w:type="dxa" w:w="8902"/>
          </w:tcPr>
          <w:p>
            <w:pPr>
              <w:spacing w:after="40" w:before="40"/>
            </w:pPr>
            <w:r>
              <w:rPr>
                <w:rFonts w:ascii="微软雅黑" w:hAnsi="微软雅黑"/>
                <w:sz w:val="20"/>
              </w:rPr>
              <w:t>Greenplum</w:t>
            </w:r>
          </w:p>
        </w:tc>
      </w:tr>
      <w:tr>
        <w:tc>
          <w:tcPr>
            <w:tcW w:type="dxa" w:w="8902"/>
          </w:tcPr>
          <w:p>
            <w:pPr>
              <w:spacing w:after="40" w:before="40"/>
            </w:pPr>
            <w:r>
              <w:rPr>
                <w:rFonts w:ascii="微软雅黑" w:hAnsi="微软雅黑"/>
                <w:sz w:val="20"/>
              </w:rPr>
              <w:t>Highrise</w:t>
            </w:r>
          </w:p>
        </w:tc>
      </w:tr>
      <w:tr>
        <w:tc>
          <w:tcPr>
            <w:tcW w:type="dxa" w:w="8902"/>
          </w:tcPr>
          <w:p>
            <w:pPr>
              <w:spacing w:after="40" w:before="40"/>
            </w:pPr>
            <w:r>
              <w:rPr>
                <w:rFonts w:ascii="微软雅黑" w:hAnsi="微软雅黑"/>
                <w:sz w:val="20"/>
              </w:rPr>
              <w:t>IBM Cloud Data Engine</w:t>
            </w:r>
          </w:p>
        </w:tc>
      </w:tr>
      <w:tr>
        <w:tc>
          <w:tcPr>
            <w:tcW w:type="dxa" w:w="8902"/>
          </w:tcPr>
          <w:p>
            <w:pPr>
              <w:spacing w:after="40" w:before="40"/>
            </w:pPr>
            <w:r>
              <w:rPr>
                <w:rFonts w:ascii="微软雅黑" w:hAnsi="微软雅黑"/>
                <w:sz w:val="20"/>
              </w:rPr>
              <w:t>IBM Cloud Object Storage</w:t>
            </w:r>
          </w:p>
        </w:tc>
      </w:tr>
      <w:tr>
        <w:tc>
          <w:tcPr>
            <w:tcW w:type="dxa" w:w="8902"/>
          </w:tcPr>
          <w:p>
            <w:pPr>
              <w:spacing w:after="40" w:before="40"/>
            </w:pPr>
            <w:r>
              <w:rPr>
                <w:rFonts w:ascii="微软雅黑" w:hAnsi="微软雅黑"/>
                <w:sz w:val="20"/>
              </w:rPr>
              <w:t>Instagram</w:t>
            </w:r>
          </w:p>
        </w:tc>
      </w:tr>
      <w:tr>
        <w:tc>
          <w:tcPr>
            <w:tcW w:type="dxa" w:w="8902"/>
          </w:tcPr>
          <w:p>
            <w:pPr>
              <w:spacing w:after="40" w:before="40"/>
            </w:pPr>
            <w:r>
              <w:rPr>
                <w:rFonts w:ascii="微软雅黑" w:hAnsi="微软雅黑"/>
                <w:sz w:val="20"/>
              </w:rPr>
              <w:t>Jira Service Management</w:t>
            </w:r>
          </w:p>
        </w:tc>
      </w:tr>
      <w:tr>
        <w:tc>
          <w:tcPr>
            <w:tcW w:type="dxa" w:w="8902"/>
          </w:tcPr>
          <w:p>
            <w:pPr>
              <w:spacing w:after="40" w:before="40"/>
            </w:pPr>
            <w:r>
              <w:rPr>
                <w:rFonts w:ascii="微软雅黑" w:hAnsi="微软雅黑"/>
                <w:sz w:val="20"/>
              </w:rPr>
              <w:t>Kintone</w:t>
            </w:r>
          </w:p>
        </w:tc>
      </w:tr>
      <w:tr>
        <w:tc>
          <w:tcPr>
            <w:tcW w:type="dxa" w:w="8902"/>
          </w:tcPr>
          <w:p>
            <w:pPr>
              <w:spacing w:after="40" w:before="40"/>
            </w:pPr>
            <w:r>
              <w:rPr>
                <w:rFonts w:ascii="微软雅黑" w:hAnsi="微软雅黑"/>
                <w:sz w:val="20"/>
              </w:rPr>
              <w:t>LDAP</w:t>
            </w:r>
          </w:p>
        </w:tc>
      </w:tr>
      <w:tr>
        <w:tc>
          <w:tcPr>
            <w:tcW w:type="dxa" w:w="8902"/>
          </w:tcPr>
          <w:p>
            <w:pPr>
              <w:spacing w:after="40" w:before="40"/>
            </w:pPr>
            <w:r>
              <w:rPr>
                <w:rFonts w:ascii="微软雅黑" w:hAnsi="微软雅黑"/>
                <w:sz w:val="20"/>
              </w:rPr>
              <w:t>LinkedIn</w:t>
            </w:r>
          </w:p>
        </w:tc>
      </w:tr>
      <w:tr>
        <w:tc>
          <w:tcPr>
            <w:tcW w:type="dxa" w:w="8902"/>
          </w:tcPr>
          <w:p>
            <w:pPr>
              <w:spacing w:after="40" w:before="40"/>
            </w:pPr>
            <w:r>
              <w:rPr>
                <w:rFonts w:ascii="微软雅黑" w:hAnsi="微软雅黑"/>
                <w:sz w:val="20"/>
              </w:rPr>
              <w:t>LinkedIn Marketing Solutions</w:t>
            </w:r>
          </w:p>
        </w:tc>
      </w:tr>
      <w:tr>
        <w:tc>
          <w:tcPr>
            <w:tcW w:type="dxa" w:w="8902"/>
          </w:tcPr>
          <w:p>
            <w:pPr>
              <w:spacing w:after="40" w:before="40"/>
            </w:pPr>
            <w:r>
              <w:rPr>
                <w:rFonts w:ascii="微软雅黑" w:hAnsi="微软雅黑"/>
                <w:sz w:val="20"/>
              </w:rPr>
              <w:t>Mailchimp</w:t>
            </w:r>
          </w:p>
        </w:tc>
      </w:tr>
      <w:tr>
        <w:tc>
          <w:tcPr>
            <w:tcW w:type="dxa" w:w="8902"/>
          </w:tcPr>
          <w:p>
            <w:pPr>
              <w:spacing w:after="40" w:before="40"/>
            </w:pPr>
            <w:r>
              <w:rPr>
                <w:rFonts w:ascii="微软雅黑" w:hAnsi="微软雅黑"/>
                <w:sz w:val="20"/>
              </w:rPr>
              <w:t>Marketo</w:t>
            </w:r>
          </w:p>
        </w:tc>
      </w:tr>
      <w:tr>
        <w:tc>
          <w:tcPr>
            <w:tcW w:type="dxa" w:w="8902"/>
          </w:tcPr>
          <w:p>
            <w:pPr>
              <w:spacing w:after="40" w:before="40"/>
            </w:pPr>
            <w:r>
              <w:rPr>
                <w:rFonts w:ascii="微软雅黑" w:hAnsi="微软雅黑"/>
                <w:sz w:val="20"/>
              </w:rPr>
              <w:t>MarkLogic</w:t>
            </w:r>
          </w:p>
        </w:tc>
      </w:tr>
      <w:tr>
        <w:tc>
          <w:tcPr>
            <w:tcW w:type="dxa" w:w="8902"/>
          </w:tcPr>
          <w:p>
            <w:pPr>
              <w:spacing w:after="40" w:before="40"/>
            </w:pPr>
            <w:r>
              <w:rPr>
                <w:rFonts w:ascii="微软雅黑" w:hAnsi="微软雅黑"/>
                <w:sz w:val="20"/>
              </w:rPr>
              <w:t>Microsoft Access</w:t>
            </w:r>
          </w:p>
        </w:tc>
      </w:tr>
      <w:tr>
        <w:tc>
          <w:tcPr>
            <w:tcW w:type="dxa" w:w="8902"/>
          </w:tcPr>
          <w:p>
            <w:pPr>
              <w:spacing w:after="40" w:before="40"/>
            </w:pPr>
            <w:r>
              <w:rPr>
                <w:rFonts w:ascii="微软雅黑" w:hAnsi="微软雅黑"/>
                <w:sz w:val="20"/>
              </w:rPr>
              <w:t>Microsoft Ads</w:t>
            </w:r>
          </w:p>
        </w:tc>
      </w:tr>
      <w:tr>
        <w:tc>
          <w:tcPr>
            <w:tcW w:type="dxa" w:w="8902"/>
          </w:tcPr>
          <w:p>
            <w:pPr>
              <w:spacing w:after="40" w:before="40"/>
            </w:pPr>
            <w:r>
              <w:rPr>
                <w:rFonts w:ascii="微软雅黑" w:hAnsi="微软雅黑"/>
                <w:sz w:val="20"/>
              </w:rPr>
              <w:t>Microsoft Bing</w:t>
            </w:r>
          </w:p>
        </w:tc>
      </w:tr>
      <w:tr>
        <w:tc>
          <w:tcPr>
            <w:tcW w:type="dxa" w:w="8902"/>
          </w:tcPr>
          <w:p>
            <w:pPr>
              <w:spacing w:after="40" w:before="40"/>
            </w:pPr>
            <w:r>
              <w:rPr>
                <w:rFonts w:ascii="微软雅黑" w:hAnsi="微软雅黑"/>
                <w:sz w:val="20"/>
              </w:rPr>
              <w:t>Microsoft Dataverse</w:t>
            </w:r>
          </w:p>
        </w:tc>
      </w:tr>
      <w:tr>
        <w:tc>
          <w:tcPr>
            <w:tcW w:type="dxa" w:w="8902"/>
          </w:tcPr>
          <w:p>
            <w:pPr>
              <w:spacing w:after="40" w:before="40"/>
            </w:pPr>
            <w:r>
              <w:rPr>
                <w:rFonts w:ascii="微软雅黑" w:hAnsi="微软雅黑"/>
                <w:sz w:val="20"/>
              </w:rPr>
              <w:t>Microsoft Dynamics 365</w:t>
            </w:r>
          </w:p>
        </w:tc>
      </w:tr>
      <w:tr>
        <w:tc>
          <w:tcPr>
            <w:tcW w:type="dxa" w:w="8902"/>
          </w:tcPr>
          <w:p>
            <w:pPr>
              <w:spacing w:after="40" w:before="40"/>
            </w:pPr>
            <w:r>
              <w:rPr>
                <w:rFonts w:ascii="微软雅黑" w:hAnsi="微软雅黑"/>
                <w:sz w:val="20"/>
              </w:rPr>
              <w:t>Microsoft Dynamics 365 Business Central</w:t>
            </w:r>
          </w:p>
        </w:tc>
      </w:tr>
      <w:tr>
        <w:tc>
          <w:tcPr>
            <w:tcW w:type="dxa" w:w="8902"/>
          </w:tcPr>
          <w:p>
            <w:pPr>
              <w:spacing w:after="40" w:before="40"/>
            </w:pPr>
            <w:r>
              <w:rPr>
                <w:rFonts w:ascii="微软雅黑" w:hAnsi="微软雅黑"/>
                <w:sz w:val="20"/>
              </w:rPr>
              <w:t>Microsoft Dynamics CRM</w:t>
            </w:r>
          </w:p>
        </w:tc>
      </w:tr>
      <w:tr>
        <w:tc>
          <w:tcPr>
            <w:tcW w:type="dxa" w:w="8902"/>
          </w:tcPr>
          <w:p>
            <w:pPr>
              <w:spacing w:after="40" w:before="40"/>
            </w:pPr>
            <w:r>
              <w:rPr>
                <w:rFonts w:ascii="微软雅黑" w:hAnsi="微软雅黑"/>
                <w:sz w:val="20"/>
              </w:rPr>
              <w:t>Microsoft Dynamics GP</w:t>
            </w:r>
          </w:p>
        </w:tc>
      </w:tr>
      <w:tr>
        <w:tc>
          <w:tcPr>
            <w:tcW w:type="dxa" w:w="8902"/>
          </w:tcPr>
          <w:p>
            <w:pPr>
              <w:spacing w:after="40" w:before="40"/>
            </w:pPr>
            <w:r>
              <w:rPr>
                <w:rFonts w:ascii="微软雅黑" w:hAnsi="微软雅黑"/>
                <w:sz w:val="20"/>
              </w:rPr>
              <w:t>Microsoft Dynamics NAV</w:t>
            </w:r>
          </w:p>
        </w:tc>
      </w:tr>
      <w:tr>
        <w:tc>
          <w:tcPr>
            <w:tcW w:type="dxa" w:w="8902"/>
          </w:tcPr>
          <w:p>
            <w:pPr>
              <w:spacing w:after="40" w:before="40"/>
            </w:pPr>
            <w:r>
              <w:rPr>
                <w:rFonts w:ascii="微软雅黑" w:hAnsi="微软雅黑"/>
                <w:sz w:val="20"/>
              </w:rPr>
              <w:t>Microsoft Excel</w:t>
            </w:r>
          </w:p>
        </w:tc>
      </w:tr>
      <w:tr>
        <w:tc>
          <w:tcPr>
            <w:tcW w:type="dxa" w:w="8902"/>
          </w:tcPr>
          <w:p>
            <w:pPr>
              <w:spacing w:after="40" w:before="40"/>
            </w:pPr>
            <w:r>
              <w:rPr>
                <w:rFonts w:ascii="微软雅黑" w:hAnsi="微软雅黑"/>
                <w:sz w:val="20"/>
              </w:rPr>
              <w:t>Microsoft Excel Online</w:t>
            </w:r>
          </w:p>
        </w:tc>
      </w:tr>
      <w:tr>
        <w:tc>
          <w:tcPr>
            <w:tcW w:type="dxa" w:w="8902"/>
          </w:tcPr>
          <w:p>
            <w:pPr>
              <w:spacing w:after="40" w:before="40"/>
            </w:pPr>
            <w:r>
              <w:rPr>
                <w:rFonts w:ascii="微软雅黑" w:hAnsi="微软雅黑"/>
                <w:sz w:val="20"/>
              </w:rPr>
              <w:t>Microsoft Exchange</w:t>
            </w:r>
          </w:p>
        </w:tc>
      </w:tr>
      <w:tr>
        <w:tc>
          <w:tcPr>
            <w:tcW w:type="dxa" w:w="8902"/>
          </w:tcPr>
          <w:p>
            <w:pPr>
              <w:spacing w:after="40" w:before="40"/>
            </w:pPr>
            <w:r>
              <w:rPr>
                <w:rFonts w:ascii="微软雅黑" w:hAnsi="微软雅黑"/>
                <w:sz w:val="20"/>
              </w:rPr>
              <w:t>Microsoft Office 365</w:t>
            </w:r>
          </w:p>
        </w:tc>
      </w:tr>
      <w:tr>
        <w:tc>
          <w:tcPr>
            <w:tcW w:type="dxa" w:w="8902"/>
          </w:tcPr>
          <w:p>
            <w:pPr>
              <w:spacing w:after="40" w:before="40"/>
            </w:pPr>
            <w:r>
              <w:rPr>
                <w:rFonts w:ascii="微软雅黑" w:hAnsi="微软雅黑"/>
                <w:sz w:val="20"/>
              </w:rPr>
              <w:t>Microsoft OneDrive</w:t>
            </w:r>
          </w:p>
        </w:tc>
      </w:tr>
      <w:tr>
        <w:tc>
          <w:tcPr>
            <w:tcW w:type="dxa" w:w="8902"/>
          </w:tcPr>
          <w:p>
            <w:pPr>
              <w:spacing w:after="40" w:before="40"/>
            </w:pPr>
            <w:r>
              <w:rPr>
                <w:rFonts w:ascii="微软雅黑" w:hAnsi="微软雅黑"/>
                <w:sz w:val="20"/>
              </w:rPr>
              <w:t>Microsoft OneNote</w:t>
            </w:r>
          </w:p>
        </w:tc>
      </w:tr>
      <w:tr>
        <w:tc>
          <w:tcPr>
            <w:tcW w:type="dxa" w:w="8902"/>
          </w:tcPr>
          <w:p>
            <w:pPr>
              <w:spacing w:after="40" w:before="40"/>
            </w:pPr>
            <w:r>
              <w:rPr>
                <w:rFonts w:ascii="微软雅黑" w:hAnsi="微软雅黑"/>
                <w:sz w:val="20"/>
              </w:rPr>
              <w:t>Microsoft Planner</w:t>
            </w:r>
          </w:p>
        </w:tc>
      </w:tr>
      <w:tr>
        <w:tc>
          <w:tcPr>
            <w:tcW w:type="dxa" w:w="8902"/>
          </w:tcPr>
          <w:p>
            <w:pPr>
              <w:spacing w:after="40" w:before="40"/>
            </w:pPr>
            <w:r>
              <w:rPr>
                <w:rFonts w:ascii="微软雅黑" w:hAnsi="微软雅黑"/>
                <w:sz w:val="20"/>
              </w:rPr>
              <w:t>Microsoft Power BI®  XMLA</w:t>
            </w:r>
          </w:p>
        </w:tc>
      </w:tr>
      <w:tr>
        <w:tc>
          <w:tcPr>
            <w:tcW w:type="dxa" w:w="8902"/>
          </w:tcPr>
          <w:p>
            <w:pPr>
              <w:spacing w:after="40" w:before="40"/>
            </w:pPr>
            <w:r>
              <w:rPr>
                <w:rFonts w:ascii="微软雅黑" w:hAnsi="微软雅黑"/>
                <w:sz w:val="20"/>
              </w:rPr>
              <w:t>Microsoft Project</w:t>
            </w:r>
          </w:p>
        </w:tc>
      </w:tr>
      <w:tr>
        <w:tc>
          <w:tcPr>
            <w:tcW w:type="dxa" w:w="8902"/>
          </w:tcPr>
          <w:p>
            <w:pPr>
              <w:spacing w:after="40" w:before="40"/>
            </w:pPr>
            <w:r>
              <w:rPr>
                <w:rFonts w:ascii="微软雅黑" w:hAnsi="微软雅黑"/>
                <w:sz w:val="20"/>
              </w:rPr>
              <w:t>Microsoft SharePoint Excel</w:t>
            </w:r>
          </w:p>
        </w:tc>
      </w:tr>
      <w:tr>
        <w:tc>
          <w:tcPr>
            <w:tcW w:type="dxa" w:w="8902"/>
          </w:tcPr>
          <w:p>
            <w:pPr>
              <w:spacing w:after="40" w:before="40"/>
            </w:pPr>
            <w:r>
              <w:rPr>
                <w:rFonts w:ascii="微软雅黑" w:hAnsi="微软雅黑"/>
                <w:sz w:val="20"/>
              </w:rPr>
              <w:t>Microsoft SQL Server Analysis Services</w:t>
            </w:r>
          </w:p>
        </w:tc>
      </w:tr>
      <w:tr>
        <w:tc>
          <w:tcPr>
            <w:tcW w:type="dxa" w:w="8902"/>
          </w:tcPr>
          <w:p>
            <w:pPr>
              <w:spacing w:after="40" w:before="40"/>
            </w:pPr>
            <w:r>
              <w:rPr>
                <w:rFonts w:ascii="微软雅黑" w:hAnsi="微软雅黑"/>
                <w:sz w:val="20"/>
              </w:rPr>
              <w:t>Microsoft Teams</w:t>
            </w:r>
          </w:p>
        </w:tc>
      </w:tr>
      <w:tr>
        <w:tc>
          <w:tcPr>
            <w:tcW w:type="dxa" w:w="8902"/>
          </w:tcPr>
          <w:p>
            <w:pPr>
              <w:spacing w:after="40" w:before="40"/>
            </w:pPr>
            <w:r>
              <w:rPr>
                <w:rFonts w:ascii="微软雅黑" w:hAnsi="微软雅黑"/>
                <w:sz w:val="20"/>
              </w:rPr>
              <w:t>Monday</w:t>
            </w:r>
          </w:p>
        </w:tc>
      </w:tr>
      <w:tr>
        <w:tc>
          <w:tcPr>
            <w:tcW w:type="dxa" w:w="8902"/>
          </w:tcPr>
          <w:p>
            <w:pPr>
              <w:spacing w:after="40" w:before="40"/>
            </w:pPr>
            <w:r>
              <w:rPr>
                <w:rFonts w:ascii="微软雅黑" w:hAnsi="微软雅黑"/>
                <w:sz w:val="20"/>
              </w:rPr>
              <w:t>MYOB</w:t>
            </w:r>
          </w:p>
        </w:tc>
      </w:tr>
      <w:tr>
        <w:tc>
          <w:tcPr>
            <w:tcW w:type="dxa" w:w="8902"/>
          </w:tcPr>
          <w:p>
            <w:pPr>
              <w:spacing w:after="40" w:before="40"/>
            </w:pPr>
            <w:r>
              <w:rPr>
                <w:rFonts w:ascii="微软雅黑" w:hAnsi="微软雅黑"/>
                <w:sz w:val="20"/>
              </w:rPr>
              <w:t>OData</w:t>
            </w:r>
          </w:p>
        </w:tc>
      </w:tr>
      <w:tr>
        <w:tc>
          <w:tcPr>
            <w:tcW w:type="dxa" w:w="8902"/>
          </w:tcPr>
          <w:p>
            <w:pPr>
              <w:spacing w:after="40" w:before="40"/>
            </w:pPr>
            <w:r>
              <w:rPr>
                <w:rFonts w:ascii="微软雅黑" w:hAnsi="微软雅黑"/>
                <w:sz w:val="20"/>
              </w:rPr>
              <w:t>Odoo</w:t>
            </w:r>
          </w:p>
        </w:tc>
      </w:tr>
      <w:tr>
        <w:tc>
          <w:tcPr>
            <w:tcW w:type="dxa" w:w="8902"/>
          </w:tcPr>
          <w:p>
            <w:pPr>
              <w:spacing w:after="40" w:before="40"/>
            </w:pPr>
            <w:r>
              <w:rPr>
                <w:rFonts w:ascii="微软雅黑" w:hAnsi="微软雅黑"/>
                <w:sz w:val="20"/>
              </w:rPr>
              <w:t>Oracle</w:t>
            </w:r>
          </w:p>
        </w:tc>
      </w:tr>
      <w:tr>
        <w:tc>
          <w:tcPr>
            <w:tcW w:type="dxa" w:w="8902"/>
          </w:tcPr>
          <w:p>
            <w:pPr>
              <w:spacing w:after="40" w:before="40"/>
            </w:pPr>
            <w:r>
              <w:rPr>
                <w:rFonts w:ascii="微软雅黑" w:hAnsi="微软雅黑"/>
                <w:sz w:val="20"/>
              </w:rPr>
              <w:t>Oracle Eloqua</w:t>
            </w:r>
          </w:p>
        </w:tc>
      </w:tr>
      <w:tr>
        <w:tc>
          <w:tcPr>
            <w:tcW w:type="dxa" w:w="8902"/>
          </w:tcPr>
          <w:p>
            <w:pPr>
              <w:spacing w:after="40" w:before="40"/>
            </w:pPr>
            <w:r>
              <w:rPr>
                <w:rFonts w:ascii="微软雅黑" w:hAnsi="微软雅黑"/>
                <w:sz w:val="20"/>
              </w:rPr>
              <w:t>Oracle Fusion Cloud Financials</w:t>
            </w:r>
          </w:p>
        </w:tc>
      </w:tr>
      <w:tr>
        <w:tc>
          <w:tcPr>
            <w:tcW w:type="dxa" w:w="8902"/>
          </w:tcPr>
          <w:p>
            <w:pPr>
              <w:spacing w:after="40" w:before="40"/>
            </w:pPr>
            <w:r>
              <w:rPr>
                <w:rFonts w:ascii="微软雅黑" w:hAnsi="微软雅黑"/>
                <w:sz w:val="20"/>
              </w:rPr>
              <w:t>Oracle Fusion Cloud HCM</w:t>
            </w:r>
          </w:p>
        </w:tc>
      </w:tr>
      <w:tr>
        <w:tc>
          <w:tcPr>
            <w:tcW w:type="dxa" w:w="8902"/>
          </w:tcPr>
          <w:p>
            <w:pPr>
              <w:spacing w:after="40" w:before="40"/>
            </w:pPr>
            <w:r>
              <w:rPr>
                <w:rFonts w:ascii="微软雅黑" w:hAnsi="微软雅黑"/>
                <w:sz w:val="20"/>
              </w:rPr>
              <w:t>Oracle Fusion Cloud SCM</w:t>
            </w:r>
          </w:p>
        </w:tc>
      </w:tr>
      <w:tr>
        <w:tc>
          <w:tcPr>
            <w:tcW w:type="dxa" w:w="8902"/>
          </w:tcPr>
          <w:p>
            <w:pPr>
              <w:spacing w:after="40" w:before="40"/>
            </w:pPr>
            <w:r>
              <w:rPr>
                <w:rFonts w:ascii="微软雅黑" w:hAnsi="微软雅黑"/>
                <w:sz w:val="20"/>
              </w:rPr>
              <w:t>Oracle Sales</w:t>
            </w:r>
          </w:p>
        </w:tc>
      </w:tr>
      <w:tr>
        <w:tc>
          <w:tcPr>
            <w:tcW w:type="dxa" w:w="8902"/>
          </w:tcPr>
          <w:p>
            <w:pPr>
              <w:spacing w:after="40" w:before="40"/>
            </w:pPr>
            <w:r>
              <w:rPr>
                <w:rFonts w:ascii="微软雅黑" w:hAnsi="微软雅黑"/>
                <w:sz w:val="20"/>
              </w:rPr>
              <w:t>Oracle Service Cloud</w:t>
            </w:r>
          </w:p>
        </w:tc>
      </w:tr>
      <w:tr>
        <w:tc>
          <w:tcPr>
            <w:tcW w:type="dxa" w:w="8902"/>
          </w:tcPr>
          <w:p>
            <w:pPr>
              <w:spacing w:after="40" w:before="40"/>
            </w:pPr>
            <w:r>
              <w:rPr>
                <w:rFonts w:ascii="微软雅黑" w:hAnsi="微软雅黑"/>
                <w:sz w:val="20"/>
              </w:rPr>
              <w:t>Outreach</w:t>
            </w:r>
          </w:p>
        </w:tc>
      </w:tr>
      <w:tr>
        <w:tc>
          <w:tcPr>
            <w:tcW w:type="dxa" w:w="8902"/>
          </w:tcPr>
          <w:p>
            <w:pPr>
              <w:spacing w:after="40" w:before="40"/>
            </w:pPr>
            <w:r>
              <w:rPr>
                <w:rFonts w:ascii="微软雅黑" w:hAnsi="微软雅黑"/>
                <w:sz w:val="20"/>
              </w:rPr>
              <w:t>Paylocity</w:t>
            </w:r>
          </w:p>
        </w:tc>
      </w:tr>
      <w:tr>
        <w:tc>
          <w:tcPr>
            <w:tcW w:type="dxa" w:w="8902"/>
          </w:tcPr>
          <w:p>
            <w:pPr>
              <w:spacing w:after="40" w:before="40"/>
            </w:pPr>
            <w:r>
              <w:rPr>
                <w:rFonts w:ascii="微软雅黑" w:hAnsi="微软雅黑"/>
                <w:sz w:val="20"/>
              </w:rPr>
              <w:t>PayPal</w:t>
            </w:r>
          </w:p>
        </w:tc>
      </w:tr>
      <w:tr>
        <w:tc>
          <w:tcPr>
            <w:tcW w:type="dxa" w:w="8902"/>
          </w:tcPr>
          <w:p>
            <w:pPr>
              <w:spacing w:after="40" w:before="40"/>
            </w:pPr>
            <w:r>
              <w:rPr>
                <w:rFonts w:ascii="微软雅黑" w:hAnsi="微软雅黑"/>
                <w:sz w:val="20"/>
              </w:rPr>
              <w:t>Pinterest</w:t>
            </w:r>
          </w:p>
        </w:tc>
      </w:tr>
      <w:tr>
        <w:tc>
          <w:tcPr>
            <w:tcW w:type="dxa" w:w="8902"/>
          </w:tcPr>
          <w:p>
            <w:pPr>
              <w:spacing w:after="40" w:before="40"/>
            </w:pPr>
            <w:r>
              <w:rPr>
                <w:rFonts w:ascii="微软雅黑" w:hAnsi="微软雅黑"/>
                <w:sz w:val="20"/>
              </w:rPr>
              <w:t>Pipedrive</w:t>
            </w:r>
          </w:p>
        </w:tc>
      </w:tr>
      <w:tr>
        <w:tc>
          <w:tcPr>
            <w:tcW w:type="dxa" w:w="8902"/>
          </w:tcPr>
          <w:p>
            <w:pPr>
              <w:spacing w:after="40" w:before="40"/>
            </w:pPr>
            <w:r>
              <w:rPr>
                <w:rFonts w:ascii="微软雅黑" w:hAnsi="微软雅黑"/>
                <w:sz w:val="20"/>
              </w:rPr>
              <w:t>Postgres</w:t>
            </w:r>
          </w:p>
        </w:tc>
      </w:tr>
      <w:tr>
        <w:tc>
          <w:tcPr>
            <w:tcW w:type="dxa" w:w="8902"/>
          </w:tcPr>
          <w:p>
            <w:pPr>
              <w:spacing w:after="40" w:before="40"/>
            </w:pPr>
            <w:r>
              <w:rPr>
                <w:rFonts w:ascii="微软雅黑" w:hAnsi="微软雅黑"/>
                <w:sz w:val="20"/>
              </w:rPr>
              <w:t>Presto</w:t>
            </w:r>
          </w:p>
        </w:tc>
      </w:tr>
      <w:tr>
        <w:tc>
          <w:tcPr>
            <w:tcW w:type="dxa" w:w="8902"/>
          </w:tcPr>
          <w:p>
            <w:pPr>
              <w:spacing w:after="40" w:before="40"/>
            </w:pPr>
            <w:r>
              <w:rPr>
                <w:rFonts w:ascii="微软雅黑" w:hAnsi="微软雅黑"/>
                <w:sz w:val="20"/>
              </w:rPr>
              <w:t>Quickbase</w:t>
            </w:r>
          </w:p>
        </w:tc>
      </w:tr>
      <w:tr>
        <w:tc>
          <w:tcPr>
            <w:tcW w:type="dxa" w:w="8902"/>
          </w:tcPr>
          <w:p>
            <w:pPr>
              <w:spacing w:after="40" w:before="40"/>
            </w:pPr>
            <w:r>
              <w:rPr>
                <w:rFonts w:ascii="微软雅黑" w:hAnsi="微软雅黑"/>
                <w:sz w:val="20"/>
              </w:rPr>
              <w:t>QuickBooks Desktop</w:t>
            </w:r>
          </w:p>
        </w:tc>
      </w:tr>
      <w:tr>
        <w:tc>
          <w:tcPr>
            <w:tcW w:type="dxa" w:w="8902"/>
          </w:tcPr>
          <w:p>
            <w:pPr>
              <w:spacing w:after="40" w:before="40"/>
            </w:pPr>
            <w:r>
              <w:rPr>
                <w:rFonts w:ascii="微软雅黑" w:hAnsi="微软雅黑"/>
                <w:sz w:val="20"/>
              </w:rPr>
              <w:t>QuickBooks Online</w:t>
            </w:r>
          </w:p>
        </w:tc>
      </w:tr>
      <w:tr>
        <w:tc>
          <w:tcPr>
            <w:tcW w:type="dxa" w:w="8902"/>
          </w:tcPr>
          <w:p>
            <w:pPr>
              <w:spacing w:after="40" w:before="40"/>
            </w:pPr>
            <w:r>
              <w:rPr>
                <w:rFonts w:ascii="微软雅黑" w:hAnsi="微软雅黑"/>
                <w:sz w:val="20"/>
              </w:rPr>
              <w:t>QuickBooks POS</w:t>
            </w:r>
          </w:p>
        </w:tc>
      </w:tr>
      <w:tr>
        <w:tc>
          <w:tcPr>
            <w:tcW w:type="dxa" w:w="8902"/>
          </w:tcPr>
          <w:p>
            <w:pPr>
              <w:spacing w:after="40" w:before="40"/>
            </w:pPr>
            <w:r>
              <w:rPr>
                <w:rFonts w:ascii="微软雅黑" w:hAnsi="微软雅黑"/>
                <w:sz w:val="20"/>
              </w:rPr>
              <w:t>Raisers Edge NXT</w:t>
            </w:r>
          </w:p>
        </w:tc>
      </w:tr>
      <w:tr>
        <w:tc>
          <w:tcPr>
            <w:tcW w:type="dxa" w:w="8902"/>
          </w:tcPr>
          <w:p>
            <w:pPr>
              <w:spacing w:after="40" w:before="40"/>
            </w:pPr>
            <w:r>
              <w:rPr>
                <w:rFonts w:ascii="微软雅黑" w:hAnsi="微软雅黑"/>
                <w:sz w:val="20"/>
              </w:rPr>
              <w:t>Reckon</w:t>
            </w:r>
          </w:p>
        </w:tc>
      </w:tr>
      <w:tr>
        <w:tc>
          <w:tcPr>
            <w:tcW w:type="dxa" w:w="8902"/>
          </w:tcPr>
          <w:p>
            <w:pPr>
              <w:spacing w:after="40" w:before="40"/>
            </w:pPr>
            <w:r>
              <w:rPr>
                <w:rFonts w:ascii="微软雅黑" w:hAnsi="微软雅黑"/>
                <w:sz w:val="20"/>
              </w:rPr>
              <w:t>Reckon Accounts Hosted</w:t>
            </w:r>
          </w:p>
        </w:tc>
      </w:tr>
      <w:tr>
        <w:tc>
          <w:tcPr>
            <w:tcW w:type="dxa" w:w="8902"/>
          </w:tcPr>
          <w:p>
            <w:pPr>
              <w:spacing w:after="40" w:before="40"/>
            </w:pPr>
            <w:r>
              <w:rPr>
                <w:rFonts w:ascii="微软雅黑" w:hAnsi="微软雅黑"/>
                <w:sz w:val="20"/>
              </w:rPr>
              <w:t>Redis</w:t>
            </w:r>
          </w:p>
        </w:tc>
      </w:tr>
      <w:tr>
        <w:tc>
          <w:tcPr>
            <w:tcW w:type="dxa" w:w="8902"/>
          </w:tcPr>
          <w:p>
            <w:pPr>
              <w:spacing w:after="40" w:before="40"/>
            </w:pPr>
            <w:r>
              <w:rPr>
                <w:rFonts w:ascii="微软雅黑" w:hAnsi="微软雅黑"/>
                <w:sz w:val="20"/>
              </w:rPr>
              <w:t>RSS</w:t>
            </w:r>
          </w:p>
        </w:tc>
      </w:tr>
      <w:tr>
        <w:tc>
          <w:tcPr>
            <w:tcW w:type="dxa" w:w="8902"/>
          </w:tcPr>
          <w:p>
            <w:pPr>
              <w:spacing w:after="40" w:before="40"/>
            </w:pPr>
            <w:r>
              <w:rPr>
                <w:rFonts w:ascii="微软雅黑" w:hAnsi="微软雅黑"/>
                <w:sz w:val="20"/>
              </w:rPr>
              <w:t>Sage 200</w:t>
            </w:r>
          </w:p>
        </w:tc>
      </w:tr>
      <w:tr>
        <w:tc>
          <w:tcPr>
            <w:tcW w:type="dxa" w:w="8902"/>
          </w:tcPr>
          <w:p>
            <w:pPr>
              <w:spacing w:after="40" w:before="40"/>
            </w:pPr>
            <w:r>
              <w:rPr>
                <w:rFonts w:ascii="微软雅黑" w:hAnsi="微软雅黑"/>
                <w:sz w:val="20"/>
              </w:rPr>
              <w:t>Sage 300</w:t>
            </w:r>
          </w:p>
        </w:tc>
      </w:tr>
      <w:tr>
        <w:tc>
          <w:tcPr>
            <w:tcW w:type="dxa" w:w="8902"/>
          </w:tcPr>
          <w:p>
            <w:pPr>
              <w:spacing w:after="40" w:before="40"/>
            </w:pPr>
            <w:r>
              <w:rPr>
                <w:rFonts w:ascii="微软雅黑" w:hAnsi="微软雅黑"/>
                <w:sz w:val="20"/>
              </w:rPr>
              <w:t>Sage 50 UK</w:t>
            </w:r>
          </w:p>
        </w:tc>
      </w:tr>
      <w:tr>
        <w:tc>
          <w:tcPr>
            <w:tcW w:type="dxa" w:w="8902"/>
          </w:tcPr>
          <w:p>
            <w:pPr>
              <w:spacing w:after="40" w:before="40"/>
            </w:pPr>
            <w:r>
              <w:rPr>
                <w:rFonts w:ascii="微软雅黑" w:hAnsi="微软雅黑"/>
                <w:sz w:val="20"/>
              </w:rPr>
              <w:t>Sage Business Cloud Accounting</w:t>
            </w:r>
          </w:p>
        </w:tc>
      </w:tr>
      <w:tr>
        <w:tc>
          <w:tcPr>
            <w:tcW w:type="dxa" w:w="8902"/>
          </w:tcPr>
          <w:p>
            <w:pPr>
              <w:spacing w:after="40" w:before="40"/>
            </w:pPr>
            <w:r>
              <w:rPr>
                <w:rFonts w:ascii="微软雅黑" w:hAnsi="微软雅黑"/>
                <w:sz w:val="20"/>
              </w:rPr>
              <w:t>Salesforce Marketing Cloud</w:t>
            </w:r>
          </w:p>
        </w:tc>
      </w:tr>
      <w:tr>
        <w:tc>
          <w:tcPr>
            <w:tcW w:type="dxa" w:w="8902"/>
          </w:tcPr>
          <w:p>
            <w:pPr>
              <w:spacing w:after="40" w:before="40"/>
            </w:pPr>
            <w:r>
              <w:rPr>
                <w:rFonts w:ascii="微软雅黑" w:hAnsi="微软雅黑"/>
                <w:sz w:val="20"/>
              </w:rPr>
              <w:t>Salesforce Marketing Cloud Account Engagement</w:t>
            </w:r>
          </w:p>
        </w:tc>
      </w:tr>
      <w:tr>
        <w:tc>
          <w:tcPr>
            <w:tcW w:type="dxa" w:w="8902"/>
          </w:tcPr>
          <w:p>
            <w:pPr>
              <w:spacing w:after="40" w:before="40"/>
            </w:pPr>
            <w:r>
              <w:rPr>
                <w:rFonts w:ascii="微软雅黑" w:hAnsi="微软雅黑"/>
                <w:sz w:val="20"/>
              </w:rPr>
              <w:t>Salesloft</w:t>
            </w:r>
          </w:p>
        </w:tc>
      </w:tr>
      <w:tr>
        <w:tc>
          <w:tcPr>
            <w:tcW w:type="dxa" w:w="8902"/>
          </w:tcPr>
          <w:p>
            <w:pPr>
              <w:spacing w:after="40" w:before="40"/>
            </w:pPr>
            <w:r>
              <w:rPr>
                <w:rFonts w:ascii="微软雅黑" w:hAnsi="微软雅黑"/>
                <w:sz w:val="20"/>
              </w:rPr>
              <w:t>SAP Business One</w:t>
            </w:r>
          </w:p>
        </w:tc>
      </w:tr>
      <w:tr>
        <w:tc>
          <w:tcPr>
            <w:tcW w:type="dxa" w:w="8902"/>
          </w:tcPr>
          <w:p>
            <w:pPr>
              <w:spacing w:after="40" w:before="40"/>
            </w:pPr>
            <w:r>
              <w:rPr>
                <w:rFonts w:ascii="微软雅黑" w:hAnsi="微软雅黑"/>
                <w:sz w:val="20"/>
              </w:rPr>
              <w:t>SAP BusinessObjects BI</w:t>
            </w:r>
          </w:p>
        </w:tc>
      </w:tr>
      <w:tr>
        <w:tc>
          <w:tcPr>
            <w:tcW w:type="dxa" w:w="8902"/>
          </w:tcPr>
          <w:p>
            <w:pPr>
              <w:spacing w:after="40" w:before="40"/>
            </w:pPr>
            <w:r>
              <w:rPr>
                <w:rFonts w:ascii="微软雅黑" w:hAnsi="微软雅黑"/>
                <w:sz w:val="20"/>
              </w:rPr>
              <w:t>SAP ByDesign</w:t>
            </w:r>
          </w:p>
        </w:tc>
      </w:tr>
      <w:tr>
        <w:tc>
          <w:tcPr>
            <w:tcW w:type="dxa" w:w="8902"/>
          </w:tcPr>
          <w:p>
            <w:pPr>
              <w:spacing w:after="40" w:before="40"/>
            </w:pPr>
            <w:r>
              <w:rPr>
                <w:rFonts w:ascii="微软雅黑" w:hAnsi="微软雅黑"/>
                <w:sz w:val="20"/>
              </w:rPr>
              <w:t>SAP Cloud for Customer</w:t>
            </w:r>
          </w:p>
        </w:tc>
      </w:tr>
      <w:tr>
        <w:tc>
          <w:tcPr>
            <w:tcW w:type="dxa" w:w="8902"/>
          </w:tcPr>
          <w:p>
            <w:pPr>
              <w:spacing w:after="40" w:before="40"/>
            </w:pPr>
            <w:r>
              <w:rPr>
                <w:rFonts w:ascii="微软雅黑" w:hAnsi="微软雅黑"/>
                <w:sz w:val="20"/>
              </w:rPr>
              <w:t>SAP Concur</w:t>
            </w:r>
          </w:p>
        </w:tc>
      </w:tr>
      <w:tr>
        <w:tc>
          <w:tcPr>
            <w:tcW w:type="dxa" w:w="8902"/>
          </w:tcPr>
          <w:p>
            <w:pPr>
              <w:spacing w:after="40" w:before="40"/>
            </w:pPr>
            <w:r>
              <w:rPr>
                <w:rFonts w:ascii="微软雅黑" w:hAnsi="微软雅黑"/>
                <w:sz w:val="20"/>
              </w:rPr>
              <w:t>SAP Fieldglass</w:t>
            </w:r>
          </w:p>
        </w:tc>
      </w:tr>
      <w:tr>
        <w:tc>
          <w:tcPr>
            <w:tcW w:type="dxa" w:w="8902"/>
          </w:tcPr>
          <w:p>
            <w:pPr>
              <w:spacing w:after="40" w:before="40"/>
            </w:pPr>
            <w:r>
              <w:rPr>
                <w:rFonts w:ascii="微软雅黑" w:hAnsi="微软雅黑"/>
                <w:sz w:val="20"/>
              </w:rPr>
              <w:t>SAP HANA XSA</w:t>
            </w:r>
          </w:p>
        </w:tc>
      </w:tr>
      <w:tr>
        <w:tc>
          <w:tcPr>
            <w:tcW w:type="dxa" w:w="8902"/>
          </w:tcPr>
          <w:p>
            <w:pPr>
              <w:spacing w:after="40" w:before="40"/>
            </w:pPr>
            <w:r>
              <w:rPr>
                <w:rFonts w:ascii="微软雅黑" w:hAnsi="微软雅黑"/>
                <w:sz w:val="20"/>
              </w:rPr>
              <w:t>SAP SuccessFactors</w:t>
            </w:r>
          </w:p>
        </w:tc>
      </w:tr>
      <w:tr>
        <w:tc>
          <w:tcPr>
            <w:tcW w:type="dxa" w:w="8902"/>
          </w:tcPr>
          <w:p>
            <w:pPr>
              <w:spacing w:after="40" w:before="40"/>
            </w:pPr>
            <w:r>
              <w:rPr>
                <w:rFonts w:ascii="微软雅黑" w:hAnsi="微软雅黑"/>
                <w:sz w:val="20"/>
              </w:rPr>
              <w:t>SendGrid</w:t>
            </w:r>
          </w:p>
        </w:tc>
      </w:tr>
      <w:tr>
        <w:tc>
          <w:tcPr>
            <w:tcW w:type="dxa" w:w="8902"/>
          </w:tcPr>
          <w:p>
            <w:pPr>
              <w:spacing w:after="40" w:before="40"/>
            </w:pPr>
            <w:r>
              <w:rPr>
                <w:rFonts w:ascii="微软雅黑" w:hAnsi="微软雅黑"/>
                <w:sz w:val="20"/>
              </w:rPr>
              <w:t>Shopify</w:t>
            </w:r>
          </w:p>
        </w:tc>
      </w:tr>
      <w:tr>
        <w:tc>
          <w:tcPr>
            <w:tcW w:type="dxa" w:w="8902"/>
          </w:tcPr>
          <w:p>
            <w:pPr>
              <w:spacing w:after="40" w:before="40"/>
            </w:pPr>
            <w:r>
              <w:rPr>
                <w:rFonts w:ascii="微软雅黑" w:hAnsi="微软雅黑"/>
                <w:sz w:val="20"/>
              </w:rPr>
              <w:t>ShipStation</w:t>
            </w:r>
          </w:p>
        </w:tc>
      </w:tr>
      <w:tr>
        <w:tc>
          <w:tcPr>
            <w:tcW w:type="dxa" w:w="8902"/>
          </w:tcPr>
          <w:p>
            <w:pPr>
              <w:spacing w:after="40" w:before="40"/>
            </w:pPr>
            <w:r>
              <w:rPr>
                <w:rFonts w:ascii="微软雅黑" w:hAnsi="微软雅黑"/>
                <w:sz w:val="20"/>
              </w:rPr>
              <w:t>SingleStore</w:t>
            </w:r>
          </w:p>
        </w:tc>
      </w:tr>
      <w:tr>
        <w:tc>
          <w:tcPr>
            <w:tcW w:type="dxa" w:w="8902"/>
          </w:tcPr>
          <w:p>
            <w:pPr>
              <w:spacing w:after="40" w:before="40"/>
            </w:pPr>
            <w:r>
              <w:rPr>
                <w:rFonts w:ascii="微软雅黑" w:hAnsi="微软雅黑"/>
                <w:sz w:val="20"/>
              </w:rPr>
              <w:t>Snapchat Ads</w:t>
            </w:r>
          </w:p>
        </w:tc>
      </w:tr>
      <w:tr>
        <w:tc>
          <w:tcPr>
            <w:tcW w:type="dxa" w:w="8902"/>
          </w:tcPr>
          <w:p>
            <w:pPr>
              <w:spacing w:after="40" w:before="40"/>
            </w:pPr>
            <w:r>
              <w:rPr>
                <w:rFonts w:ascii="微软雅黑" w:hAnsi="微软雅黑"/>
                <w:sz w:val="20"/>
              </w:rPr>
              <w:t>Smartsheet</w:t>
            </w:r>
          </w:p>
        </w:tc>
      </w:tr>
      <w:tr>
        <w:tc>
          <w:tcPr>
            <w:tcW w:type="dxa" w:w="8902"/>
          </w:tcPr>
          <w:p>
            <w:pPr>
              <w:spacing w:after="40" w:before="40"/>
            </w:pPr>
            <w:r>
              <w:rPr>
                <w:rFonts w:ascii="微软雅黑" w:hAnsi="微软雅黑"/>
                <w:sz w:val="20"/>
              </w:rPr>
              <w:t>Spark SQL</w:t>
            </w:r>
          </w:p>
        </w:tc>
      </w:tr>
      <w:tr>
        <w:tc>
          <w:tcPr>
            <w:tcW w:type="dxa" w:w="8902"/>
          </w:tcPr>
          <w:p>
            <w:pPr>
              <w:spacing w:after="40" w:before="40"/>
            </w:pPr>
            <w:r>
              <w:rPr>
                <w:rFonts w:ascii="微软雅黑" w:hAnsi="微软雅黑"/>
                <w:sz w:val="20"/>
              </w:rPr>
              <w:t>Splunk</w:t>
            </w:r>
          </w:p>
        </w:tc>
      </w:tr>
      <w:tr>
        <w:tc>
          <w:tcPr>
            <w:tcW w:type="dxa" w:w="8902"/>
          </w:tcPr>
          <w:p>
            <w:pPr>
              <w:spacing w:after="40" w:before="40"/>
            </w:pPr>
            <w:r>
              <w:rPr>
                <w:rFonts w:ascii="微软雅黑" w:hAnsi="微软雅黑"/>
                <w:sz w:val="20"/>
              </w:rPr>
              <w:t>Streak</w:t>
            </w:r>
          </w:p>
        </w:tc>
      </w:tr>
      <w:tr>
        <w:tc>
          <w:tcPr>
            <w:tcW w:type="dxa" w:w="8902"/>
          </w:tcPr>
          <w:p>
            <w:pPr>
              <w:spacing w:after="40" w:before="40"/>
            </w:pPr>
            <w:r>
              <w:rPr>
                <w:rFonts w:ascii="微软雅黑" w:hAnsi="微软雅黑"/>
                <w:sz w:val="20"/>
              </w:rPr>
              <w:t>Stripe</w:t>
            </w:r>
          </w:p>
        </w:tc>
      </w:tr>
      <w:tr>
        <w:tc>
          <w:tcPr>
            <w:tcW w:type="dxa" w:w="8902"/>
          </w:tcPr>
          <w:p>
            <w:pPr>
              <w:spacing w:after="40" w:before="40"/>
            </w:pPr>
            <w:r>
              <w:rPr>
                <w:rFonts w:ascii="微软雅黑" w:hAnsi="微软雅黑"/>
                <w:sz w:val="20"/>
              </w:rPr>
              <w:t>SugarCRM</w:t>
            </w:r>
          </w:p>
        </w:tc>
      </w:tr>
      <w:tr>
        <w:tc>
          <w:tcPr>
            <w:tcW w:type="dxa" w:w="8902"/>
          </w:tcPr>
          <w:p>
            <w:pPr>
              <w:spacing w:after="40" w:before="40"/>
            </w:pPr>
            <w:r>
              <w:rPr>
                <w:rFonts w:ascii="微软雅黑" w:hAnsi="微软雅黑"/>
                <w:sz w:val="20"/>
              </w:rPr>
              <w:t>SuiteCRM</w:t>
            </w:r>
          </w:p>
        </w:tc>
      </w:tr>
      <w:tr>
        <w:tc>
          <w:tcPr>
            <w:tcW w:type="dxa" w:w="8902"/>
          </w:tcPr>
          <w:p>
            <w:pPr>
              <w:spacing w:after="40" w:before="40"/>
            </w:pPr>
            <w:r>
              <w:rPr>
                <w:rFonts w:ascii="微软雅黑" w:hAnsi="微软雅黑"/>
                <w:sz w:val="20"/>
              </w:rPr>
              <w:t>SurveyMonkey</w:t>
            </w:r>
          </w:p>
        </w:tc>
      </w:tr>
      <w:tr>
        <w:tc>
          <w:tcPr>
            <w:tcW w:type="dxa" w:w="8902"/>
          </w:tcPr>
          <w:p>
            <w:pPr>
              <w:spacing w:after="40" w:before="40"/>
            </w:pPr>
            <w:r>
              <w:rPr>
                <w:rFonts w:ascii="微软雅黑" w:hAnsi="微软雅黑"/>
                <w:sz w:val="20"/>
              </w:rPr>
              <w:t>SybaseIQ</w:t>
            </w:r>
          </w:p>
        </w:tc>
      </w:tr>
      <w:tr>
        <w:tc>
          <w:tcPr>
            <w:tcW w:type="dxa" w:w="8902"/>
          </w:tcPr>
          <w:p>
            <w:pPr>
              <w:spacing w:after="40" w:before="40"/>
            </w:pPr>
            <w:r>
              <w:rPr>
                <w:rFonts w:ascii="微软雅黑" w:hAnsi="微软雅黑"/>
                <w:sz w:val="20"/>
              </w:rPr>
              <w:t>Tableau CRM Analytics</w:t>
            </w:r>
          </w:p>
        </w:tc>
      </w:tr>
      <w:tr>
        <w:tc>
          <w:tcPr>
            <w:tcW w:type="dxa" w:w="8902"/>
          </w:tcPr>
          <w:p>
            <w:pPr>
              <w:spacing w:after="40" w:before="40"/>
            </w:pPr>
            <w:r>
              <w:rPr>
                <w:rFonts w:ascii="微软雅黑" w:hAnsi="微软雅黑"/>
                <w:sz w:val="20"/>
              </w:rPr>
              <w:t>Twitter Ads</w:t>
            </w:r>
          </w:p>
        </w:tc>
      </w:tr>
      <w:tr>
        <w:tc>
          <w:tcPr>
            <w:tcW w:type="dxa" w:w="8902"/>
          </w:tcPr>
          <w:p>
            <w:pPr>
              <w:spacing w:after="40" w:before="40"/>
            </w:pPr>
            <w:r>
              <w:rPr>
                <w:rFonts w:ascii="微软雅黑" w:hAnsi="微软雅黑"/>
                <w:sz w:val="20"/>
              </w:rPr>
              <w:t>Tally</w:t>
            </w:r>
          </w:p>
        </w:tc>
      </w:tr>
      <w:tr>
        <w:tc>
          <w:tcPr>
            <w:tcW w:type="dxa" w:w="8902"/>
          </w:tcPr>
          <w:p>
            <w:pPr>
              <w:spacing w:after="40" w:before="40"/>
            </w:pPr>
            <w:r>
              <w:rPr>
                <w:rFonts w:ascii="微软雅黑" w:hAnsi="微软雅黑"/>
                <w:sz w:val="20"/>
              </w:rPr>
              <w:t>TaxJar</w:t>
            </w:r>
          </w:p>
        </w:tc>
      </w:tr>
      <w:tr>
        <w:tc>
          <w:tcPr>
            <w:tcW w:type="dxa" w:w="8902"/>
          </w:tcPr>
          <w:p>
            <w:pPr>
              <w:spacing w:after="40" w:before="40"/>
            </w:pPr>
            <w:r>
              <w:rPr>
                <w:rFonts w:ascii="微软雅黑" w:hAnsi="微软雅黑"/>
                <w:sz w:val="20"/>
              </w:rPr>
              <w:t>Trello</w:t>
            </w:r>
          </w:p>
        </w:tc>
      </w:tr>
      <w:tr>
        <w:tc>
          <w:tcPr>
            <w:tcW w:type="dxa" w:w="8902"/>
          </w:tcPr>
          <w:p>
            <w:pPr>
              <w:spacing w:after="40" w:before="40"/>
            </w:pPr>
            <w:r>
              <w:rPr>
                <w:rFonts w:ascii="微软雅黑" w:hAnsi="微软雅黑"/>
                <w:sz w:val="20"/>
              </w:rPr>
              <w:t>TSheets</w:t>
            </w:r>
          </w:p>
        </w:tc>
      </w:tr>
      <w:tr>
        <w:tc>
          <w:tcPr>
            <w:tcW w:type="dxa" w:w="8902"/>
          </w:tcPr>
          <w:p>
            <w:pPr>
              <w:spacing w:after="40" w:before="40"/>
            </w:pPr>
            <w:r>
              <w:rPr>
                <w:rFonts w:ascii="微软雅黑" w:hAnsi="微软雅黑"/>
                <w:sz w:val="20"/>
              </w:rPr>
              <w:t>Twilio</w:t>
            </w:r>
          </w:p>
        </w:tc>
      </w:tr>
      <w:tr>
        <w:tc>
          <w:tcPr>
            <w:tcW w:type="dxa" w:w="8902"/>
          </w:tcPr>
          <w:p>
            <w:pPr>
              <w:spacing w:after="40" w:before="40"/>
            </w:pPr>
            <w:r>
              <w:rPr>
                <w:rFonts w:ascii="微软雅黑" w:hAnsi="微软雅黑"/>
                <w:sz w:val="20"/>
              </w:rPr>
              <w:t>Veeva Vault</w:t>
            </w:r>
          </w:p>
        </w:tc>
      </w:tr>
      <w:tr>
        <w:tc>
          <w:tcPr>
            <w:tcW w:type="dxa" w:w="8902"/>
          </w:tcPr>
          <w:p>
            <w:pPr>
              <w:spacing w:after="40" w:before="40"/>
            </w:pPr>
            <w:r>
              <w:rPr>
                <w:rFonts w:ascii="微软雅黑" w:hAnsi="微软雅黑"/>
                <w:sz w:val="20"/>
              </w:rPr>
              <w:t>Wave Financial</w:t>
            </w:r>
          </w:p>
        </w:tc>
      </w:tr>
      <w:tr>
        <w:tc>
          <w:tcPr>
            <w:tcW w:type="dxa" w:w="8902"/>
          </w:tcPr>
          <w:p>
            <w:pPr>
              <w:spacing w:after="40" w:before="40"/>
            </w:pPr>
            <w:r>
              <w:rPr>
                <w:rFonts w:ascii="微软雅黑" w:hAnsi="微软雅黑"/>
                <w:sz w:val="20"/>
              </w:rPr>
              <w:t>WooCommerce</w:t>
            </w:r>
          </w:p>
        </w:tc>
      </w:tr>
      <w:tr>
        <w:tc>
          <w:tcPr>
            <w:tcW w:type="dxa" w:w="8902"/>
          </w:tcPr>
          <w:p>
            <w:pPr>
              <w:spacing w:after="40" w:before="40"/>
            </w:pPr>
            <w:r>
              <w:rPr>
                <w:rFonts w:ascii="微软雅黑" w:hAnsi="微软雅黑"/>
                <w:sz w:val="20"/>
              </w:rPr>
              <w:t>WordPress</w:t>
            </w:r>
          </w:p>
        </w:tc>
      </w:tr>
      <w:tr>
        <w:tc>
          <w:tcPr>
            <w:tcW w:type="dxa" w:w="8902"/>
          </w:tcPr>
          <w:p>
            <w:pPr>
              <w:spacing w:after="40" w:before="40"/>
            </w:pPr>
            <w:r>
              <w:rPr>
                <w:rFonts w:ascii="微软雅黑" w:hAnsi="微软雅黑"/>
                <w:sz w:val="20"/>
              </w:rPr>
              <w:t>Xero</w:t>
            </w:r>
          </w:p>
        </w:tc>
      </w:tr>
      <w:tr>
        <w:tc>
          <w:tcPr>
            <w:tcW w:type="dxa" w:w="8902"/>
          </w:tcPr>
          <w:p>
            <w:pPr>
              <w:spacing w:after="40" w:before="40"/>
            </w:pPr>
            <w:r>
              <w:rPr>
                <w:rFonts w:ascii="微软雅黑" w:hAnsi="微软雅黑"/>
                <w:sz w:val="20"/>
              </w:rPr>
              <w:t>Xero WorkflowMax</w:t>
            </w:r>
          </w:p>
        </w:tc>
      </w:tr>
      <w:tr>
        <w:tc>
          <w:tcPr>
            <w:tcW w:type="dxa" w:w="8902"/>
          </w:tcPr>
          <w:p>
            <w:pPr>
              <w:spacing w:after="40" w:before="40"/>
            </w:pPr>
            <w:r>
              <w:rPr>
                <w:rFonts w:ascii="微软雅黑" w:hAnsi="微软雅黑"/>
                <w:sz w:val="20"/>
              </w:rPr>
              <w:t>YouTube Analytics</w:t>
            </w:r>
          </w:p>
        </w:tc>
      </w:tr>
      <w:tr>
        <w:tc>
          <w:tcPr>
            <w:tcW w:type="dxa" w:w="8902"/>
          </w:tcPr>
          <w:p>
            <w:pPr>
              <w:spacing w:after="40" w:before="40"/>
            </w:pPr>
            <w:r>
              <w:rPr>
                <w:rFonts w:ascii="微软雅黑" w:hAnsi="微软雅黑"/>
                <w:sz w:val="20"/>
              </w:rPr>
              <w:t>Zoho Books</w:t>
            </w:r>
          </w:p>
        </w:tc>
      </w:tr>
      <w:tr>
        <w:tc>
          <w:tcPr>
            <w:tcW w:type="dxa" w:w="8902"/>
          </w:tcPr>
          <w:p>
            <w:pPr>
              <w:spacing w:after="40" w:before="40"/>
            </w:pPr>
            <w:r>
              <w:rPr>
                <w:rFonts w:ascii="微软雅黑" w:hAnsi="微软雅黑"/>
                <w:sz w:val="20"/>
              </w:rPr>
              <w:t>Zoho CRM</w:t>
            </w:r>
          </w:p>
        </w:tc>
      </w:tr>
      <w:tr>
        <w:tc>
          <w:tcPr>
            <w:tcW w:type="dxa" w:w="8902"/>
          </w:tcPr>
          <w:p>
            <w:pPr>
              <w:spacing w:after="40" w:before="40"/>
            </w:pPr>
            <w:r>
              <w:rPr>
                <w:rFonts w:ascii="微软雅黑" w:hAnsi="微软雅黑"/>
                <w:sz w:val="20"/>
              </w:rPr>
              <w:t>Zoho Creator</w:t>
            </w:r>
          </w:p>
        </w:tc>
      </w:tr>
      <w:tr>
        <w:tc>
          <w:tcPr>
            <w:tcW w:type="dxa" w:w="8902"/>
          </w:tcPr>
          <w:p>
            <w:pPr>
              <w:spacing w:after="40" w:before="40"/>
            </w:pPr>
            <w:r>
              <w:rPr>
                <w:rFonts w:ascii="微软雅黑" w:hAnsi="微软雅黑"/>
                <w:sz w:val="20"/>
              </w:rPr>
              <w:t>Zoho Inventory</w:t>
            </w:r>
          </w:p>
        </w:tc>
      </w:tr>
      <w:tr>
        <w:tc>
          <w:tcPr>
            <w:tcW w:type="dxa" w:w="8902"/>
          </w:tcPr>
          <w:p>
            <w:pPr>
              <w:spacing w:after="40" w:before="40"/>
            </w:pPr>
            <w:r>
              <w:rPr>
                <w:rFonts w:ascii="微软雅黑" w:hAnsi="微软雅黑"/>
                <w:sz w:val="20"/>
              </w:rPr>
              <w:t>Zoho Projects</w:t>
            </w:r>
          </w:p>
        </w:tc>
      </w:tr>
      <w:tr>
        <w:tc>
          <w:tcPr>
            <w:tcW w:type="dxa" w:w="8902"/>
          </w:tcPr>
          <w:p>
            <w:pPr>
              <w:spacing w:after="40" w:before="40"/>
            </w:pPr>
            <w:r>
              <w:rPr>
                <w:rFonts w:ascii="微软雅黑" w:hAnsi="微软雅黑"/>
                <w:sz w:val="20"/>
              </w:rPr>
              <w:t>Zendesk</w:t>
            </w:r>
          </w:p>
        </w:tc>
      </w:tr>
      <w:tr>
        <w:tc>
          <w:tcPr>
            <w:tcW w:type="dxa" w:w="8902"/>
          </w:tcPr>
          <w:p>
            <w:pPr>
              <w:spacing w:after="40" w:before="40"/>
            </w:pPr>
            <w:r>
              <w:rPr>
                <w:rFonts w:ascii="微软雅黑" w:hAnsi="微软雅黑"/>
                <w:sz w:val="20"/>
              </w:rPr>
              <w:t>Zuora</w:t>
            </w:r>
          </w:p>
        </w:tc>
      </w:tr>
    </w:tbl>
    <w:p/>
    <w:p>
      <w:r>
        <w:br w:type="page"/>
      </w:r>
    </w:p>
    <w:p>
      <w:pPr>
        <w:pStyle w:val="Heading1"/>
      </w:pPr>
      <w:r>
        <w:rPr>
          <w:rFonts w:ascii="微软雅黑" w:hAnsi="微软雅黑"/>
        </w:rPr>
        <w:t>用于Foundry数据集的S3兼容API</w:t>
      </w:r>
    </w:p>
    <w:p>
      <w:pPr>
        <w:spacing w:line="360" w:lineRule="auto" w:after="120"/>
      </w:pPr>
      <w:r>
        <w:rPr>
          <w:rFonts w:ascii="微软雅黑" w:hAnsi="微软雅黑"/>
          <w:sz w:val="21"/>
        </w:rPr>
        <w:t># 用于Foundry数据集的S3兼容API</w:t>
      </w:r>
    </w:p>
    <w:p>
      <w:pPr>
        <w:spacing w:line="360" w:lineRule="auto" w:after="120"/>
      </w:pPr>
      <w:r>
        <w:rPr>
          <w:rFonts w:ascii="微软雅黑" w:hAnsi="微软雅黑"/>
          <w:sz w:val="21"/>
        </w:rPr>
        <w:t>用于Foundry数据集的S3兼容API允许您像与S3存储桶交互一样与Foundry数据集交互。了解通过API访问数据集时的行为，并查看</w:t>
      </w:r>
      <w:r>
        <w:rPr>
          <w:rFonts w:ascii="微软雅黑" w:hAnsi="微软雅黑"/>
          <w:color w:val="0066CC"/>
          <w:sz w:val="21"/>
          <w:u w:val="single"/>
        </w:rPr>
        <w:t>设置指南</w:t>
      </w:r>
      <w:r>
        <w:rPr>
          <w:rFonts w:ascii="微软雅黑" w:hAnsi="微软雅黑"/>
          <w:sz w:val="21"/>
        </w:rPr>
        <w:t>和</w:t>
      </w:r>
      <w:r>
        <w:rPr>
          <w:rFonts w:ascii="微软雅黑" w:hAnsi="微软雅黑"/>
          <w:color w:val="0066CC"/>
          <w:sz w:val="21"/>
          <w:u w:val="single"/>
        </w:rPr>
        <w:t>示例</w:t>
      </w:r>
      <w:r>
        <w:rPr>
          <w:rFonts w:ascii="微软雅黑" w:hAnsi="微软雅黑"/>
          <w:sz w:val="21"/>
        </w:rPr>
        <w:t>。</w:t>
      </w:r>
    </w:p>
    <w:p>
      <w:pPr>
        <w:pStyle w:val="Heading2"/>
      </w:pPr>
      <w:r>
        <w:rPr>
          <w:rFonts w:ascii="微软雅黑" w:hAnsi="微软雅黑"/>
        </w:rPr>
        <w:t>概述</w:t>
      </w:r>
    </w:p>
    <w:p>
      <w:pPr>
        <w:spacing w:line="360" w:lineRule="auto" w:after="120"/>
      </w:pPr>
      <w:r>
        <w:rPr>
          <w:rFonts w:ascii="微软雅黑" w:hAnsi="微软雅黑"/>
          <w:sz w:val="21"/>
        </w:rPr>
        <w:t>Foundry公开了一部分</w:t>
      </w:r>
      <w:r>
        <w:rPr>
          <w:rFonts w:ascii="微软雅黑" w:hAnsi="微软雅黑"/>
          <w:color w:val="0066CC"/>
          <w:sz w:val="21"/>
          <w:u w:val="single"/>
        </w:rPr>
        <w:t>Amazon Simple Storage Service (S3) API ↗</w:t>
      </w:r>
      <w:r>
        <w:rPr>
          <w:rFonts w:ascii="微软雅黑" w:hAnsi="微软雅黑"/>
          <w:sz w:val="21"/>
        </w:rPr>
        <w:t>，允许您使用能够与S3存储服务通信的客户端与Foundry数据集交互。示例包括AWS CLI、AWS SDKs、Hadoop S3文件系统和Cyberduck。</w:t>
      </w:r>
    </w:p>
    <w:p>
      <w:pPr>
        <w:spacing w:after="40"/>
        <w:jc w:val="center"/>
      </w:pPr>
      <w:r>
        <w:rPr>
          <w:i/>
          <w:color w:val="646464"/>
          <w:sz w:val="18"/>
        </w:rPr>
        <w:t>图：用于Foundry数据集的S3兼容API</w:t>
      </w:r>
    </w:p>
    <w:p>
      <w:pPr>
        <w:spacing w:before="120" w:after="240"/>
        <w:jc w:val="center"/>
      </w:pPr>
      <w:r>
        <w:drawing>
          <wp:inline xmlns:a="http://schemas.openxmlformats.org/drawingml/2006/main" xmlns:pic="http://schemas.openxmlformats.org/drawingml/2006/picture">
            <wp:extent cx="5029200" cy="3062841"/>
            <wp:docPr id="40" name="Picture 40"/>
            <wp:cNvGraphicFramePr>
              <a:graphicFrameLocks noChangeAspect="1"/>
            </wp:cNvGraphicFramePr>
            <a:graphic>
              <a:graphicData uri="http://schemas.openxmlformats.org/drawingml/2006/picture">
                <pic:pic>
                  <pic:nvPicPr>
                    <pic:cNvPr id="0" name="foundry-s3-api.png"/>
                    <pic:cNvPicPr/>
                  </pic:nvPicPr>
                  <pic:blipFill>
                    <a:blip r:embed="rId47"/>
                    <a:stretch>
                      <a:fillRect/>
                    </a:stretch>
                  </pic:blipFill>
                  <pic:spPr>
                    <a:xfrm>
                      <a:off x="0" y="0"/>
                      <a:ext cx="5029200" cy="3062841"/>
                    </a:xfrm>
                    <a:prstGeom prst="rect"/>
                  </pic:spPr>
                </pic:pic>
              </a:graphicData>
            </a:graphic>
          </wp:inline>
        </w:drawing>
      </w:r>
    </w:p>
    <w:p>
      <w:pPr>
        <w:spacing w:line="360" w:lineRule="auto" w:after="120"/>
      </w:pPr>
      <w:r>
        <w:rPr>
          <w:rFonts w:ascii="微软雅黑" w:hAnsi="微软雅黑"/>
          <w:sz w:val="21"/>
        </w:rPr>
        <w:t>S3 API未完全实现，因为并非所有S3概念都能自然地映射到Foundry中的概念。例如，目前不支持创建和删除存储桶（代表Foundry数据集）；数据集应在使用API之前在Foundry中创建。然而，支持大多数文件读/写/删除工作流，包括分段上传。查看</w:t>
      </w:r>
      <w:r>
        <w:rPr>
          <w:rFonts w:ascii="微软雅黑" w:hAnsi="微软雅黑"/>
          <w:color w:val="0066CC"/>
          <w:sz w:val="21"/>
          <w:u w:val="single"/>
        </w:rPr>
        <w:t>支持的操作</w:t>
      </w:r>
      <w:r>
        <w:rPr>
          <w:rFonts w:ascii="微软雅黑" w:hAnsi="微软雅黑"/>
          <w:sz w:val="21"/>
        </w:rPr>
        <w:t>以了解支持的S3操作列表。</w:t>
      </w:r>
    </w:p>
    <w:p>
      <w:pPr>
        <w:pStyle w:val="Heading2"/>
      </w:pPr>
      <w:r>
        <w:rPr>
          <w:rFonts w:ascii="微软雅黑" w:hAnsi="微软雅黑"/>
        </w:rPr>
        <w:t>概念</w:t>
      </w:r>
    </w:p>
    <w:p>
      <w:pPr>
        <w:spacing w:line="360" w:lineRule="auto" w:after="120"/>
      </w:pPr>
      <w:r>
        <w:rPr>
          <w:rFonts w:ascii="微软雅黑" w:hAnsi="微软雅黑"/>
          <w:sz w:val="21"/>
        </w:rPr>
        <w:t>本节概述了S3概念如何映射到Foundry数据集概念。</w:t>
      </w:r>
    </w:p>
    <w:p>
      <w:pPr>
        <w:pStyle w:val="Heading3"/>
      </w:pPr>
      <w:r>
        <w:rPr>
          <w:rFonts w:ascii="微软雅黑" w:hAnsi="微软雅黑"/>
        </w:rPr>
        <w:t>S3存储桶对应于Foundry数据集</w:t>
      </w:r>
    </w:p>
    <w:p>
      <w:r>
        <w:rPr>
          <w:rFonts w:ascii="微软雅黑" w:hAnsi="微软雅黑"/>
          <w:b/>
        </w:rPr>
        <w:t>S3存储桶</w:t>
      </w:r>
      <w:r>
        <w:rPr>
          <w:rFonts w:ascii="微软雅黑" w:hAnsi="微软雅黑"/>
        </w:rPr>
        <w:t>：对应于**Foundry数据集**，存储桶名称是Foundry数据集的唯一标识符（例如，`ri.foundry.main.dataset.bafb7e96-84f1-4d23-a4a5-40b17c6912e7`）。</w:t>
      </w:r>
    </w:p>
    <w:p>
      <w:r>
        <w:rPr>
          <w:rFonts w:ascii="微软雅黑" w:hAnsi="微软雅黑"/>
          <w:b/>
        </w:rPr>
        <w:t>S3对象键</w:t>
      </w:r>
      <w:r>
        <w:rPr>
          <w:rFonts w:ascii="微软雅黑" w:hAnsi="微软雅黑"/>
        </w:rPr>
        <w:t>：对应于**Foundry数据集中文件的逻辑路径**（例如，`top-level-file.csv`或`subfolder/nested-file.csv`）。</w:t>
      </w:r>
    </w:p>
    <w:p>
      <w:pPr>
        <w:pStyle w:val="Heading3"/>
      </w:pPr>
      <w:r>
        <w:rPr>
          <w:rFonts w:ascii="微软雅黑" w:hAnsi="微软雅黑"/>
        </w:rPr>
        <w:t>分支</w:t>
      </w:r>
    </w:p>
    <w:p>
      <w:pPr>
        <w:spacing w:line="360" w:lineRule="auto" w:after="120"/>
      </w:pPr>
      <w:r>
        <w:rPr>
          <w:rFonts w:ascii="微软雅黑" w:hAnsi="微软雅黑"/>
          <w:sz w:val="21"/>
        </w:rPr>
        <w:t>API支持访问具有字母数字名称（仅包含</w:t>
      </w:r>
      <w:r>
        <w:rPr>
          <w:rFonts w:ascii="Consolas" w:hAnsi="Consolas"/>
          <w:color w:val="B43C3C"/>
          <w:sz w:val="18"/>
        </w:rPr>
        <w:t>a-z</w:t>
      </w:r>
      <w:r>
        <w:rPr>
          <w:rFonts w:ascii="微软雅黑" w:hAnsi="微软雅黑"/>
          <w:sz w:val="21"/>
        </w:rPr>
        <w:t>、</w:t>
      </w:r>
      <w:r>
        <w:rPr>
          <w:rFonts w:ascii="Consolas" w:hAnsi="Consolas"/>
          <w:color w:val="B43C3C"/>
          <w:sz w:val="18"/>
        </w:rPr>
        <w:t>A-Z</w:t>
      </w:r>
      <w:r>
        <w:rPr>
          <w:rFonts w:ascii="微软雅黑" w:hAnsi="微软雅黑"/>
          <w:sz w:val="21"/>
        </w:rPr>
        <w:t>或</w:t>
      </w:r>
      <w:r>
        <w:rPr>
          <w:rFonts w:ascii="Consolas" w:hAnsi="Consolas"/>
          <w:color w:val="B43C3C"/>
          <w:sz w:val="18"/>
        </w:rPr>
        <w:t>0-9</w:t>
      </w:r>
      <w:r>
        <w:rPr>
          <w:rFonts w:ascii="微软雅黑" w:hAnsi="微软雅黑"/>
          <w:sz w:val="21"/>
        </w:rPr>
        <w:t>）的数据集分支。要指定分支，通过在存储桶名称后附加分支名称并用句点分隔来修改存储桶名称：</w:t>
      </w:r>
      <w:r>
        <w:rPr>
          <w:rFonts w:ascii="Consolas" w:hAnsi="Consolas"/>
          <w:color w:val="B43C3C"/>
          <w:sz w:val="18"/>
        </w:rPr>
        <w:t>&lt;dataset-rid&gt;.&lt;branch-name&gt;</w:t>
      </w:r>
      <w:r>
        <w:rPr>
          <w:rFonts w:ascii="微软雅黑" w:hAnsi="微软雅黑"/>
          <w:sz w:val="21"/>
        </w:rPr>
        <w:t>。如果未指定分支，则使用默认分支。</w:t>
      </w:r>
    </w:p>
    <w:p>
      <w:pPr>
        <w:spacing w:line="360" w:lineRule="auto" w:after="120"/>
      </w:pPr>
      <w:r>
        <w:rPr>
          <w:rFonts w:ascii="微软雅黑" w:hAnsi="微软雅黑"/>
          <w:sz w:val="21"/>
        </w:rPr>
        <w:t>例如，要访问RID为</w:t>
      </w:r>
      <w:r>
        <w:rPr>
          <w:rFonts w:ascii="Consolas" w:hAnsi="Consolas"/>
          <w:color w:val="B43C3C"/>
          <w:sz w:val="18"/>
        </w:rPr>
        <w:t>ri.foundry.main.dataset.bafb7e96-84f1-4d23-a4a5-40b17c6912e7</w:t>
      </w:r>
      <w:r>
        <w:rPr>
          <w:rFonts w:ascii="微软雅黑" w:hAnsi="微软雅黑"/>
          <w:sz w:val="21"/>
        </w:rPr>
        <w:t>的数据集的</w:t>
      </w:r>
      <w:r>
        <w:rPr>
          <w:rFonts w:ascii="Consolas" w:hAnsi="Consolas"/>
          <w:color w:val="B43C3C"/>
          <w:sz w:val="18"/>
        </w:rPr>
        <w:t>mybranch</w:t>
      </w:r>
      <w:r>
        <w:rPr>
          <w:rFonts w:ascii="微软雅黑" w:hAnsi="微软雅黑"/>
          <w:sz w:val="21"/>
        </w:rPr>
        <w:t>分支，请使用存储桶名称</w:t>
      </w:r>
      <w:r>
        <w:rPr>
          <w:rFonts w:ascii="Consolas" w:hAnsi="Consolas"/>
          <w:color w:val="B43C3C"/>
          <w:sz w:val="18"/>
        </w:rPr>
        <w:t>ri.foundry.main.dataset.bafb7e96-84f1-4d23-a4a5-40b17c6912e7.mybranch</w:t>
      </w:r>
      <w:r>
        <w:rPr>
          <w:rFonts w:ascii="微软雅黑" w:hAnsi="微软雅黑"/>
          <w:sz w:val="21"/>
        </w:rPr>
        <w:t>。</w:t>
      </w:r>
    </w:p>
    <w:p>
      <w:pPr>
        <w:spacing w:line="360" w:lineRule="auto" w:after="120"/>
      </w:pPr>
      <w:r>
        <w:rPr>
          <w:rFonts w:ascii="微软雅黑" w:hAnsi="微软雅黑"/>
          <w:sz w:val="21"/>
        </w:rPr>
        <w:t>API不支持分支创建；指定的分支必须已存在于数据集中。</w:t>
      </w:r>
    </w:p>
    <w:p>
      <w:pPr>
        <w:pStyle w:val="Heading3"/>
      </w:pPr>
      <w:r>
        <w:rPr>
          <w:rFonts w:ascii="微软雅黑" w:hAnsi="微软雅黑"/>
        </w:rPr>
        <w:t>事务</w:t>
      </w:r>
    </w:p>
    <w:p>
      <w:pPr>
        <w:spacing w:line="360" w:lineRule="auto" w:after="120"/>
      </w:pPr>
      <w:r>
        <w:rPr>
          <w:rFonts w:ascii="微软雅黑" w:hAnsi="微软雅黑"/>
          <w:sz w:val="21"/>
        </w:rPr>
        <w:t>API支持以类似于分支的方式访问数据集事务。这允许用户访问数据集的历史版本。例如，要访问RID为</w:t>
      </w:r>
      <w:r>
        <w:rPr>
          <w:rFonts w:ascii="Consolas" w:hAnsi="Consolas"/>
          <w:color w:val="B43C3C"/>
          <w:sz w:val="18"/>
        </w:rPr>
        <w:t>ri.foundry.main.dataset.bafb7e96-84f1-4d23-a4a5-40b17c6912e7</w:t>
      </w:r>
      <w:r>
        <w:rPr>
          <w:rFonts w:ascii="微软雅黑" w:hAnsi="微软雅黑"/>
          <w:sz w:val="21"/>
        </w:rPr>
        <w:t>的数据集的</w:t>
      </w:r>
      <w:r>
        <w:rPr>
          <w:rFonts w:ascii="Consolas" w:hAnsi="Consolas"/>
          <w:color w:val="B43C3C"/>
          <w:sz w:val="18"/>
        </w:rPr>
        <w:t>ri.foundry.main.transaction.0cdfe8c9-f595-4859-a194-7daecff9d6fe</w:t>
      </w:r>
      <w:r>
        <w:rPr>
          <w:rFonts w:ascii="微软雅黑" w:hAnsi="微软雅黑"/>
          <w:sz w:val="21"/>
        </w:rPr>
        <w:t>事务，请使用存储桶名称</w:t>
      </w:r>
      <w:r>
        <w:rPr>
          <w:rFonts w:ascii="Consolas" w:hAnsi="Consolas"/>
          <w:color w:val="B43C3C"/>
          <w:sz w:val="18"/>
        </w:rPr>
        <w:t>ri.foundry.main.dataset.bafb7e96-84f1-4d23-a4a5-40b17c6912e7.ri.foundry.main.transaction.0cdfe8c9-f595-4859-a194-7daecff9d6fe</w:t>
      </w:r>
      <w:r>
        <w:rPr>
          <w:rFonts w:ascii="微软雅黑" w:hAnsi="微软雅黑"/>
          <w:sz w:val="21"/>
        </w:rPr>
        <w:t>。</w:t>
      </w:r>
    </w:p>
    <w:p>
      <w:pPr>
        <w:spacing w:line="360" w:lineRule="auto" w:after="120"/>
      </w:pPr>
      <w:r>
        <w:rPr>
          <w:rFonts w:ascii="微软雅黑" w:hAnsi="微软雅黑"/>
          <w:sz w:val="21"/>
        </w:rPr>
        <w:t>只能以这种方式访问已提交的事务。因此，存储桶将是只读的；使用包含事务标识符的存储桶名称时，无法放置或删除对象。</w:t>
      </w:r>
    </w:p>
    <w:p>
      <w:pPr>
        <w:pStyle w:val="Heading3"/>
      </w:pPr>
      <w:r>
        <w:rPr>
          <w:rFonts w:ascii="微软雅黑" w:hAnsi="微软雅黑"/>
        </w:rPr>
        <w:t>事务管理</w:t>
      </w:r>
    </w:p>
    <w:p>
      <w:pPr>
        <w:spacing w:line="360" w:lineRule="auto" w:after="120"/>
      </w:pPr>
      <w:r>
        <w:rPr>
          <w:rFonts w:ascii="微软雅黑" w:hAnsi="微软雅黑"/>
          <w:sz w:val="21"/>
        </w:rPr>
        <w:t>S3没有事务的概念，所以</w:t>
      </w:r>
      <w:r>
        <w:rPr>
          <w:rFonts w:ascii="微软雅黑" w:hAnsi="微软雅黑"/>
          <w:color w:val="0066CC"/>
          <w:sz w:val="21"/>
          <w:u w:val="single"/>
        </w:rPr>
        <w:t>Foundry数据集事务</w:t>
      </w:r>
      <w:r>
        <w:rPr>
          <w:rFonts w:ascii="微软雅黑" w:hAnsi="微软雅黑"/>
          <w:sz w:val="21"/>
        </w:rPr>
        <w:t>会自动处理，具有以下行为：</w:t>
      </w:r>
    </w:p>
    <w:p>
      <w:pPr>
        <w:pStyle w:val="ListNumber"/>
        <w:spacing w:line="360" w:lineRule="auto" w:after="120"/>
      </w:pPr>
      <w:r>
        <w:rPr>
          <w:rFonts w:ascii="微软雅黑" w:hAnsi="微软雅黑"/>
          <w:sz w:val="21"/>
        </w:rPr>
        <w:t>当用户写入或删除文件时，事务会延迟打开。</w:t>
      </w:r>
    </w:p>
    <w:p>
      <w:pPr>
        <w:pStyle w:val="ListNumber"/>
        <w:spacing w:line="360" w:lineRule="auto" w:after="120"/>
      </w:pPr>
      <w:r>
        <w:rPr>
          <w:rFonts w:ascii="微软雅黑" w:hAnsi="微软雅黑"/>
          <w:sz w:val="21"/>
        </w:rPr>
        <w:t>API支持并发写入多个文件\_或\_并发删除多个文件。文件将在同一个开放事务中修改，写入使用</w:t>
      </w:r>
      <w:r>
        <w:rPr>
          <w:rFonts w:ascii="Consolas" w:hAnsi="Consolas"/>
          <w:color w:val="B43C3C"/>
          <w:sz w:val="18"/>
        </w:rPr>
        <w:t>UPDATE</w:t>
      </w:r>
      <w:r>
        <w:rPr>
          <w:rFonts w:ascii="微软雅黑" w:hAnsi="微软雅黑"/>
          <w:sz w:val="21"/>
        </w:rPr>
        <w:t>事务，删除使用</w:t>
      </w:r>
      <w:r>
        <w:rPr>
          <w:rFonts w:ascii="Consolas" w:hAnsi="Consolas"/>
          <w:color w:val="B43C3C"/>
          <w:sz w:val="18"/>
        </w:rPr>
        <w:t>DELETE</w:t>
      </w:r>
      <w:r>
        <w:rPr>
          <w:rFonts w:ascii="微软雅黑" w:hAnsi="微软雅黑"/>
          <w:sz w:val="21"/>
        </w:rPr>
        <w:t>事务。</w:t>
      </w:r>
    </w:p>
    <w:p>
      <w:pPr>
        <w:pStyle w:val="ListNumber"/>
        <w:spacing w:line="360" w:lineRule="auto" w:after="120"/>
      </w:pPr>
      <w:r>
        <w:rPr>
          <w:rFonts w:ascii="微软雅黑" w:hAnsi="微软雅黑"/>
          <w:sz w:val="21"/>
        </w:rPr>
        <w:t>API不支持并发写入\_和\_删除，因为这需要同时激活</w:t>
      </w:r>
      <w:r>
        <w:rPr>
          <w:rFonts w:ascii="Consolas" w:hAnsi="Consolas"/>
          <w:color w:val="B43C3C"/>
          <w:sz w:val="18"/>
        </w:rPr>
        <w:t>UPDATE</w:t>
      </w:r>
      <w:r>
        <w:rPr>
          <w:rFonts w:ascii="微软雅黑" w:hAnsi="微软雅黑"/>
          <w:sz w:val="21"/>
        </w:rPr>
        <w:t>和</w:t>
      </w:r>
      <w:r>
        <w:rPr>
          <w:rFonts w:ascii="Consolas" w:hAnsi="Consolas"/>
          <w:color w:val="B43C3C"/>
          <w:sz w:val="18"/>
        </w:rPr>
        <w:t>DELETE</w:t>
      </w:r>
      <w:r>
        <w:rPr>
          <w:rFonts w:ascii="微软雅黑" w:hAnsi="微软雅黑"/>
          <w:sz w:val="21"/>
        </w:rPr>
        <w:t>事务。</w:t>
      </w:r>
    </w:p>
    <w:p>
      <w:pPr>
        <w:pStyle w:val="ListNumber"/>
        <w:spacing w:line="360" w:lineRule="auto" w:after="120"/>
      </w:pPr>
      <w:r>
        <w:rPr>
          <w:rFonts w:ascii="微软雅黑" w:hAnsi="微软雅黑"/>
          <w:sz w:val="21"/>
        </w:rPr>
        <w:t>在写入或删除后的短时间内不活动后，事务会自动提交。这允许您在同一事务中上传多个文件，避免出现含有很少文件的多个事务。为了避免事务无限期保持打开状态，例如如果文件持续上传以至于没有不活动期，一旦没有活动的上传，事务将在一定时间后提交。如果文件并行连续上传，则事务将在所有上传完成后保持打开状态。</w:t>
      </w:r>
    </w:p>
    <w:p>
      <w:pPr>
        <w:pStyle w:val="ListNumber"/>
        <w:spacing w:line="360" w:lineRule="auto" w:after="120"/>
      </w:pPr>
      <w:r>
        <w:rPr>
          <w:rFonts w:ascii="微软雅黑" w:hAnsi="微软雅黑"/>
          <w:sz w:val="21"/>
        </w:rPr>
        <w:t>如果在事务打开期间的不活动期内收到读取请求，</w:t>
      </w:r>
      <w:r>
        <w:rPr>
          <w:rFonts w:ascii="Consolas" w:hAnsi="Consolas"/>
          <w:color w:val="B43C3C"/>
          <w:sz w:val="18"/>
        </w:rPr>
        <w:t>UPDATE</w:t>
      </w:r>
      <w:r>
        <w:rPr>
          <w:rFonts w:ascii="微软雅黑" w:hAnsi="微软雅黑"/>
          <w:sz w:val="21"/>
        </w:rPr>
        <w:t>和</w:t>
      </w:r>
      <w:r>
        <w:rPr>
          <w:rFonts w:ascii="Consolas" w:hAnsi="Consolas"/>
          <w:color w:val="B43C3C"/>
          <w:sz w:val="18"/>
        </w:rPr>
        <w:t>DELETE</w:t>
      </w:r>
      <w:r>
        <w:rPr>
          <w:rFonts w:ascii="微软雅黑" w:hAnsi="微软雅黑"/>
          <w:sz w:val="21"/>
        </w:rPr>
        <w:t>事务将在可能的情况下立即提交。这旨在保留S3通常预期的写后读语义。但是，如果在开放事务中仍有活动写请求时尝试读取，则读取将从最新提交的视图进行。为了确保在所有写入或删除完成后事务提交，您可以在任何新的写入或删除请求之前发出后续读取请求。</w:t>
      </w:r>
    </w:p>
    <w:p>
      <w:pPr>
        <w:spacing w:line="360" w:lineRule="auto" w:after="120"/>
      </w:pPr>
      <w:r>
        <w:rPr>
          <w:rFonts w:ascii="微软雅黑" w:hAnsi="微软雅黑"/>
          <w:sz w:val="21"/>
        </w:rPr>
        <w:t>鉴于上述行为，不保证写后读语义。然而，尽一切努力在可能的情况下提供它们。</w:t>
      </w:r>
    </w:p>
    <w:p>
      <w:pPr>
        <w:pStyle w:val="Heading3"/>
      </w:pPr>
      <w:r>
        <w:rPr>
          <w:rFonts w:ascii="微软雅黑" w:hAnsi="微软雅黑"/>
        </w:rPr>
        <w:t>身份验证</w:t>
      </w:r>
    </w:p>
    <w:p>
      <w:pPr>
        <w:spacing w:line="360" w:lineRule="auto" w:after="120"/>
      </w:pPr>
      <w:r>
        <w:rPr>
          <w:rFonts w:ascii="微软雅黑" w:hAnsi="微软雅黑"/>
          <w:sz w:val="21"/>
        </w:rPr>
        <w:t>通过API的连接使用访问密钥ID和秘密访问密钥凭证进行身份验证。</w:t>
      </w:r>
    </w:p>
    <w:p>
      <w:pPr>
        <w:spacing w:line="360" w:lineRule="auto" w:after="120"/>
      </w:pPr>
      <w:r>
        <w:rPr>
          <w:rFonts w:ascii="微软雅黑" w:hAnsi="微软雅黑"/>
          <w:sz w:val="21"/>
        </w:rPr>
        <w:t>#### 静态凭证</w:t>
      </w:r>
    </w:p>
    <w:p>
      <w:pPr>
        <w:spacing w:line="360" w:lineRule="auto" w:after="120"/>
      </w:pPr>
      <w:r>
        <w:rPr>
          <w:rFonts w:ascii="微软雅黑" w:hAnsi="微软雅黑"/>
          <w:sz w:val="21"/>
        </w:rPr>
        <w:t>静态凭证类似于标准AWS访问密钥ID和秘密访问密钥凭证。静态凭证是长期有效的，在Foundry情况下，与在Foundry控制面板中注册的</w:t>
      </w:r>
      <w:r>
        <w:rPr>
          <w:rFonts w:ascii="微软雅黑" w:hAnsi="微软雅黑"/>
          <w:color w:val="0066CC"/>
          <w:sz w:val="21"/>
          <w:u w:val="single"/>
        </w:rPr>
        <w:t>第三方应用程序</w:t>
      </w:r>
      <w:r>
        <w:rPr>
          <w:rFonts w:ascii="微软雅黑" w:hAnsi="微软雅黑"/>
          <w:sz w:val="21"/>
        </w:rPr>
        <w:t>的服务用户相关联。</w:t>
      </w:r>
    </w:p>
    <w:p>
      <w:pPr>
        <w:spacing w:line="360" w:lineRule="auto" w:after="120"/>
      </w:pPr>
      <w:r>
        <w:rPr>
          <w:rFonts w:ascii="微软雅黑" w:hAnsi="微软雅黑"/>
          <w:sz w:val="21"/>
        </w:rPr>
        <w:t>当使用静态访问密钥ID和秘密访问密钥通过S3兼容API连接到数据集时，访问级别由授予第三方应用程序的服务用户的访问权限确定。静态凭证还必须至少限制到一个项目。生成新凭证集时指定项目限制。</w:t>
      </w:r>
    </w:p>
    <w:p>
      <w:pPr>
        <w:spacing w:line="360" w:lineRule="auto" w:after="120"/>
      </w:pPr>
      <w:r>
        <w:rPr>
          <w:rFonts w:ascii="微软雅黑" w:hAnsi="微软雅黑"/>
          <w:sz w:val="21"/>
        </w:rPr>
        <w:t>有关使用</w:t>
      </w:r>
      <w:r>
        <w:rPr>
          <w:rFonts w:ascii="Consolas" w:hAnsi="Consolas"/>
          <w:color w:val="B43C3C"/>
          <w:sz w:val="18"/>
        </w:rPr>
        <w:t>/io/s3/api/v2/credentials</w:t>
      </w:r>
      <w:r>
        <w:rPr>
          <w:rFonts w:ascii="微软雅黑" w:hAnsi="微软雅黑"/>
          <w:sz w:val="21"/>
        </w:rPr>
        <w:t>API端点生成这些凭证的指南，请参阅下面的</w:t>
      </w:r>
      <w:r>
        <w:rPr>
          <w:rFonts w:ascii="微软雅黑" w:hAnsi="微软雅黑"/>
          <w:color w:val="0066CC"/>
          <w:sz w:val="21"/>
          <w:u w:val="single"/>
        </w:rPr>
        <w:t>设置指南</w:t>
      </w:r>
      <w:r>
        <w:rPr>
          <w:rFonts w:ascii="微软雅黑" w:hAnsi="微软雅黑"/>
          <w:sz w:val="21"/>
        </w:rPr>
        <w:t>。</w:t>
      </w:r>
    </w:p>
    <w:p>
      <w:pPr>
        <w:spacing w:line="360" w:lineRule="auto" w:after="120"/>
      </w:pPr>
      <w:r>
        <w:rPr>
          <w:rFonts w:ascii="微软雅黑" w:hAnsi="微软雅黑"/>
          <w:sz w:val="21"/>
        </w:rPr>
        <w:t>#### 临时凭证</w:t>
      </w:r>
    </w:p>
    <w:p>
      <w:pPr>
        <w:spacing w:line="360" w:lineRule="auto" w:after="120"/>
      </w:pPr>
      <w:r>
        <w:rPr>
          <w:rFonts w:ascii="微软雅黑" w:hAnsi="微软雅黑"/>
          <w:sz w:val="21"/>
        </w:rPr>
        <w:t>我们建议在任何需要长期凭证或将访问权限绑定到服务用户的工作流程中使用</w:t>
      </w:r>
      <w:r>
        <w:rPr>
          <w:rFonts w:ascii="微软雅黑" w:hAnsi="微软雅黑"/>
          <w:color w:val="0066CC"/>
          <w:sz w:val="21"/>
          <w:u w:val="single"/>
        </w:rPr>
        <w:t>静态凭证</w:t>
      </w:r>
      <w:r>
        <w:rPr>
          <w:rFonts w:ascii="微软雅黑" w:hAnsi="微软雅黑"/>
          <w:sz w:val="21"/>
        </w:rPr>
        <w:t>。如果您更喜欢以常规Foundry用户身份验证API，我们支持交换</w:t>
      </w:r>
      <w:r>
        <w:rPr>
          <w:rFonts w:ascii="微软雅黑" w:hAnsi="微软雅黑"/>
          <w:color w:val="0066CC"/>
          <w:sz w:val="21"/>
          <w:u w:val="single"/>
        </w:rPr>
        <w:t>用户身份验证词元</w:t>
      </w:r>
      <w:r>
        <w:rPr>
          <w:rFonts w:ascii="微软雅黑" w:hAnsi="微软雅黑"/>
          <w:sz w:val="21"/>
        </w:rPr>
        <w:t>以获取临时S3凭证。此词元也可以通过</w:t>
      </w:r>
      <w:r>
        <w:rPr>
          <w:rFonts w:ascii="微软雅黑" w:hAnsi="微软雅黑"/>
          <w:color w:val="0066CC"/>
          <w:sz w:val="21"/>
          <w:u w:val="single"/>
        </w:rPr>
        <w:t>OAuth2</w:t>
      </w:r>
      <w:r>
        <w:rPr>
          <w:rFonts w:ascii="微软雅黑" w:hAnsi="微软雅黑"/>
          <w:sz w:val="21"/>
        </w:rPr>
        <w:t>授权之一获取，适用于</w:t>
      </w:r>
      <w:r>
        <w:rPr>
          <w:rFonts w:ascii="微软雅黑" w:hAnsi="微软雅黑"/>
          <w:color w:val="0066CC"/>
          <w:sz w:val="21"/>
          <w:u w:val="single"/>
        </w:rPr>
        <w:t>第三方应用程序</w:t>
      </w:r>
      <w:r>
        <w:rPr>
          <w:rFonts w:ascii="微软雅黑" w:hAnsi="微软雅黑"/>
          <w:sz w:val="21"/>
        </w:rPr>
        <w:t>。</w:t>
      </w:r>
    </w:p>
    <w:p>
      <w:pPr>
        <w:spacing w:line="360" w:lineRule="auto" w:after="120"/>
      </w:pPr>
      <w:r>
        <w:rPr>
          <w:rFonts w:ascii="微软雅黑" w:hAnsi="微软雅黑"/>
          <w:sz w:val="21"/>
        </w:rPr>
        <w:t>使用标准的</w:t>
      </w:r>
      <w:r>
        <w:rPr>
          <w:rFonts w:ascii="微软雅黑" w:hAnsi="微软雅黑"/>
          <w:color w:val="0066CC"/>
          <w:sz w:val="21"/>
          <w:u w:val="single"/>
        </w:rPr>
        <w:t>AssumeRoleWithWebIdentity ↗</w:t>
      </w:r>
      <w:r>
        <w:rPr>
          <w:rFonts w:ascii="微软雅黑" w:hAnsi="微软雅黑"/>
          <w:sz w:val="21"/>
        </w:rPr>
        <w:t>安全词元服务（STS）API获取临时凭证。我们只需要</w:t>
      </w:r>
      <w:r>
        <w:rPr>
          <w:rFonts w:ascii="Consolas" w:hAnsi="Consolas"/>
          <w:color w:val="B43C3C"/>
          <w:sz w:val="18"/>
        </w:rPr>
        <w:t>WebIdentityToken</w:t>
      </w:r>
      <w:r>
        <w:rPr>
          <w:rFonts w:ascii="微软雅黑" w:hAnsi="微软雅黑"/>
          <w:sz w:val="21"/>
        </w:rPr>
        <w:t>请求参数存在并配置为上述常规Foundry词元。返回的临时凭证将具有与提供的词元相同的范围。可以提供</w:t>
      </w:r>
      <w:r>
        <w:rPr>
          <w:rFonts w:ascii="Consolas" w:hAnsi="Consolas"/>
          <w:color w:val="B43C3C"/>
          <w:sz w:val="18"/>
        </w:rPr>
        <w:t>DurationSeconds</w:t>
      </w:r>
      <w:r>
        <w:rPr>
          <w:rFonts w:ascii="微软雅黑" w:hAnsi="微软雅黑"/>
          <w:sz w:val="21"/>
        </w:rPr>
        <w:t>参数来指定凭证的生命周期。凭证的最长有效期为一小时，并且永远不会超过用于获取临时凭证的Foundry词元的生命周期。</w:t>
      </w:r>
    </w:p>
    <w:p>
      <w:pPr>
        <w:spacing w:line="360" w:lineRule="auto" w:after="120"/>
      </w:pPr>
      <w:r>
        <w:rPr>
          <w:rFonts w:ascii="微软雅黑" w:hAnsi="微软雅黑"/>
          <w:sz w:val="21"/>
        </w:rPr>
        <w:t>STS API可以通过</w:t>
      </w:r>
      <w:r>
        <w:rPr>
          <w:rFonts w:ascii="Consolas" w:hAnsi="Consolas"/>
          <w:color w:val="B43C3C"/>
          <w:sz w:val="18"/>
        </w:rPr>
        <w:t>https://&lt;FOUNDRY_URL&gt;/io/s3</w:t>
      </w:r>
      <w:r>
        <w:rPr>
          <w:rFonts w:ascii="微软雅黑" w:hAnsi="微软雅黑"/>
          <w:sz w:val="21"/>
        </w:rPr>
        <w:t>访问。如果您希望以编程方式获取STS凭证，则应在标准STS客户端或凭证提供程序的端点配置中配置此URL。例如：</w:t>
      </w:r>
    </w:p>
    <w:p>
      <w:pPr>
        <w:spacing w:before="80" w:after="80"/>
        <w:ind w:left="567"/>
      </w:pPr>
      <w:r>
        <w:rPr>
          <w:rFonts w:ascii="Consolas" w:hAnsi="Consolas"/>
          <w:color w:val="505050"/>
          <w:sz w:val="18"/>
        </w:rPr>
        <w:t>import boto3</w:t>
        <w:br/>
        <w:t>endpoint = "https://&lt;FOUNDRY_URL&gt;/io/s3"</w:t>
        <w:br/>
        <w:t>session = boto3.session.Session()</w:t>
        <w:br/>
        <w:t>client = session.client(service_name='sts', endpoint_url=endpoint)</w:t>
        <w:br/>
        <w:t># RoleArn 和 RoleSessionName 是 boto3 中必需的参数，即使未被使用</w:t>
        <w:br/>
        <w:t># assume_role_with_web_identity 方法用于通过 Web 身份验证获取临时的 AWS 凭证</w:t>
        <w:br/>
        <w:t>credentials = client.assume_role_with_web_identity(</w:t>
        <w:br/>
        <w:t xml:space="preserve">    RoleArn="xxxxxxxxxxxxxxxxxxxx",</w:t>
        <w:br/>
        <w:t xml:space="preserve">    RoleSessionName="xxxxx",</w:t>
        <w:br/>
        <w:t xml:space="preserve">    WebIdentityToken=token  # Web 身份验证令牌</w:t>
        <w:br/>
        <w:t>)["Credentials"]</w:t>
      </w:r>
    </w:p>
    <w:p>
      <w:pPr>
        <w:spacing w:line="360" w:lineRule="auto" w:after="120"/>
      </w:pPr>
      <w:r>
        <w:rPr>
          <w:rFonts w:ascii="微软雅黑" w:hAnsi="微软雅黑"/>
          <w:sz w:val="21"/>
        </w:rPr>
        <w:t>或者，您可以使用cURL或等效工具直接访问API，如下面的示例所示。</w:t>
      </w:r>
      <w:r>
        <w:rPr>
          <w:rFonts w:ascii="Consolas" w:hAnsi="Consolas"/>
          <w:color w:val="B43C3C"/>
          <w:sz w:val="18"/>
        </w:rPr>
        <w:t>&lt;TOKEN&gt;</w:t>
      </w:r>
      <w:r>
        <w:rPr>
          <w:rFonts w:ascii="微软雅黑" w:hAnsi="微软雅黑"/>
          <w:sz w:val="21"/>
        </w:rPr>
        <w:t>应替换为有效的Foundry词元。</w:t>
      </w:r>
    </w:p>
    <w:p>
      <w:pPr>
        <w:spacing w:before="80" w:after="80"/>
        <w:ind w:left="567"/>
      </w:pPr>
      <w:r>
        <w:rPr>
          <w:rFonts w:ascii="Consolas" w:hAnsi="Consolas"/>
          <w:color w:val="505050"/>
          <w:sz w:val="18"/>
        </w:rPr>
        <w:t>curl -X POST \</w:t>
        <w:br/>
        <w:t xml:space="preserve">    https://&lt;FOUNDRY_URL&gt;/io/s3?Action=AssumeRoleWithWebIdentity&amp;WebIdentityToken=&lt;TOKEN&gt;</w:t>
      </w:r>
    </w:p>
    <w:p>
      <w:pPr>
        <w:spacing w:line="360" w:lineRule="auto" w:after="120"/>
      </w:pPr>
      <w:r>
        <w:rPr>
          <w:rFonts w:ascii="微软雅黑" w:hAnsi="微软雅黑"/>
          <w:sz w:val="21"/>
        </w:rPr>
        <w:t>&lt;!--</w:t>
      </w:r>
    </w:p>
    <w:p>
      <w:pPr>
        <w:spacing w:line="360" w:lineRule="auto" w:after="120"/>
      </w:pPr>
      <w:r>
        <w:rPr>
          <w:rFonts w:ascii="微软雅黑" w:hAnsi="微软雅黑"/>
          <w:sz w:val="21"/>
        </w:rPr>
        <w:t>这个命令使用 curl 发送一个 POST 请求到指定的 FOUNDRY_URL。</w:t>
      </w:r>
    </w:p>
    <w:p>
      <w:pPr>
        <w:spacing w:line="360" w:lineRule="auto" w:after="120"/>
      </w:pPr>
      <w:r>
        <w:rPr>
          <w:rFonts w:ascii="微软雅黑" w:hAnsi="微软雅黑"/>
          <w:sz w:val="21"/>
        </w:rPr>
        <w:t>请求的目的是通过 Web 身份验证令牌来假设角色（AssumeRoleWithWebIdentity）。</w:t>
      </w:r>
    </w:p>
    <w:p>
      <w:pPr>
        <w:spacing w:line="360" w:lineRule="auto" w:after="120"/>
      </w:pPr>
      <w:r>
        <w:rPr>
          <w:rFonts w:ascii="微软雅黑" w:hAnsi="微软雅黑"/>
          <w:sz w:val="21"/>
        </w:rPr>
        <w:t>替换 &lt;FOUNDRY_URL&gt; 为你的实际 URL，替换 &lt;TOKEN&gt; 为你的实际 Web 身份验证令牌。</w:t>
      </w:r>
    </w:p>
    <w:p>
      <w:pPr>
        <w:spacing w:line="360" w:lineRule="auto" w:after="120"/>
      </w:pPr>
      <w:r>
        <w:rPr>
          <w:rFonts w:ascii="微软雅黑" w:hAnsi="微软雅黑"/>
          <w:sz w:val="21"/>
        </w:rPr>
        <w:t>--&gt;</w:t>
      </w:r>
    </w:p>
    <w:p>
      <w:pPr>
        <w:spacing w:line="360" w:lineRule="auto" w:after="120"/>
      </w:pPr>
      <w:r>
        <w:rPr>
          <w:rFonts w:ascii="微软雅黑" w:hAnsi="微软雅黑"/>
          <w:sz w:val="21"/>
        </w:rPr>
        <w:t>您将在 XML 响应中收到会话凭证，如下所示。这些凭证应被安全存储。</w:t>
      </w:r>
    </w:p>
    <w:p>
      <w:pPr>
        <w:spacing w:before="80" w:after="80"/>
        <w:ind w:left="567"/>
      </w:pPr>
      <w:r>
        <w:rPr>
          <w:rFonts w:ascii="Consolas" w:hAnsi="Consolas"/>
          <w:color w:val="505050"/>
          <w:sz w:val="18"/>
        </w:rPr>
        <w:t>&lt;?xml version='1.0' encoding='UTF-8'?&gt;</w:t>
        <w:br/>
        <w:t>&lt;AssumeRoleWithWebIdentityResponse</w:t>
        <w:br/>
        <w:tab/>
        <w:t>xmlns="https://sts.amazonaws.com/doc/2011-06-15/"&gt;</w:t>
        <w:br/>
        <w:tab/>
        <w:t>&lt;AssumeRoleWithWebIdentityResult&gt;</w:t>
        <w:br/>
        <w:tab/>
        <w:tab/>
        <w:t>&lt;Credentials&gt;</w:t>
        <w:br/>
        <w:tab/>
        <w:tab/>
        <w:tab/>
        <w:t>&lt;AccessKeyId&gt;PLTRLZZJE0...&lt;/AccessKeyId&gt; &lt;!-- 访问密钥 ID --&gt;</w:t>
        <w:br/>
        <w:tab/>
        <w:tab/>
        <w:tab/>
        <w:t>&lt;SecretAccessKey&gt;2j3hKX4EDP...&lt;/SecretAccessKey&gt; &lt;!-- 秘密访问密钥 --&gt;</w:t>
        <w:br/>
        <w:tab/>
        <w:tab/>
        <w:tab/>
        <w:t>&lt;SessionToken&gt;eyJwbG50ci...&lt;/SessionToken&gt; &lt;!-- 会话令牌 --&gt;</w:t>
        <w:br/>
        <w:tab/>
        <w:tab/>
        <w:tab/>
        <w:t>&lt;Expiration&gt;2023-08-30T10:55:08.841403951Z&lt;/Expiration&gt; &lt;!-- 凭证过期时间 --&gt;</w:t>
        <w:br/>
        <w:tab/>
        <w:tab/>
        <w:t>&lt;/Credentials&gt;</w:t>
        <w:br/>
        <w:tab/>
        <w:t>&lt;/AssumeRoleWithWebIdentityResult&gt;</w:t>
        <w:br/>
        <w:t>&lt;/AssumeRoleWithWebIdentityResponse&gt;</w:t>
      </w:r>
    </w:p>
    <w:p>
      <w:pPr>
        <w:spacing w:line="360" w:lineRule="auto" w:after="120"/>
      </w:pPr>
      <w:r>
        <w:rPr>
          <w:rFonts w:ascii="微软雅黑" w:hAnsi="微软雅黑"/>
          <w:sz w:val="21"/>
        </w:rPr>
        <w:t>此 XML 文件示例用于从 AWS 安全令牌服务（STS）中获取临时安全凭证。这些凭证包括访问密钥 ID、秘密访问密钥和会话令牌，它们通常用于在一定时间内访问 AWS 资源。</w:t>
      </w:r>
      <w:r>
        <w:rPr>
          <w:rFonts w:ascii="Consolas" w:hAnsi="Consolas"/>
          <w:color w:val="B43C3C"/>
          <w:sz w:val="18"/>
        </w:rPr>
        <w:t>Expiration</w:t>
      </w:r>
      <w:r>
        <w:rPr>
          <w:rFonts w:ascii="微软雅黑" w:hAnsi="微软雅黑"/>
          <w:sz w:val="21"/>
        </w:rPr>
        <w:t xml:space="preserve"> 元素显示凭证的到期时间。</w:t>
      </w:r>
    </w:p>
    <w:p>
      <w:pPr>
        <w:spacing w:line="360" w:lineRule="auto" w:after="120"/>
      </w:pPr>
      <w:r>
        <w:rPr>
          <w:rFonts w:ascii="微软雅黑" w:hAnsi="微软雅黑"/>
          <w:sz w:val="21"/>
        </w:rPr>
        <w:t>一旦您拥有临时凭证，请导航到下面</w:t>
      </w:r>
      <w:r>
        <w:rPr>
          <w:rFonts w:ascii="微软雅黑" w:hAnsi="微软雅黑"/>
          <w:color w:val="0066CC"/>
          <w:sz w:val="21"/>
          <w:u w:val="single"/>
        </w:rPr>
        <w:t>设置指南</w:t>
      </w:r>
      <w:r>
        <w:rPr>
          <w:rFonts w:ascii="微软雅黑" w:hAnsi="微软雅黑"/>
          <w:sz w:val="21"/>
        </w:rPr>
        <w:t>的第四步，以获取配置S3客户端的指导。您无需遵循任何有关第三方应用程序的步骤。在配置S3客户端时，您必须提供会话词元、访问密钥ID和秘密访问密钥。</w:t>
      </w:r>
    </w:p>
    <w:p>
      <w:pPr>
        <w:spacing w:line="360" w:lineRule="auto" w:after="120"/>
      </w:pPr>
      <w:r>
        <w:rPr>
          <w:rFonts w:ascii="微软雅黑" w:hAnsi="微软雅黑"/>
          <w:sz w:val="21"/>
        </w:rPr>
        <w:t>通过S3兼容API读取或写入数据，用户需要</w:t>
      </w:r>
      <w:r>
        <w:rPr>
          <w:rFonts w:ascii="Consolas" w:hAnsi="Consolas"/>
          <w:color w:val="B43C3C"/>
          <w:sz w:val="18"/>
        </w:rPr>
        <w:t>s3-proxy:datasets-read</w:t>
      </w:r>
      <w:r>
        <w:rPr>
          <w:rFonts w:ascii="微软雅黑" w:hAnsi="微软雅黑"/>
          <w:sz w:val="21"/>
        </w:rPr>
        <w:t>和</w:t>
      </w:r>
      <w:r>
        <w:rPr>
          <w:rFonts w:ascii="Consolas" w:hAnsi="Consolas"/>
          <w:color w:val="B43C3C"/>
          <w:sz w:val="18"/>
        </w:rPr>
        <w:t>s3-proxy:datasets-write</w:t>
      </w:r>
      <w:r>
        <w:rPr>
          <w:rFonts w:ascii="微软雅黑" w:hAnsi="微软雅黑"/>
          <w:sz w:val="21"/>
        </w:rPr>
        <w:t>权限，这些权限默认分别授予</w:t>
      </w:r>
      <w:r>
        <w:rPr>
          <w:rFonts w:ascii="Consolas" w:hAnsi="Consolas"/>
          <w:color w:val="B43C3C"/>
          <w:sz w:val="18"/>
        </w:rPr>
        <w:t>Viewer</w:t>
      </w:r>
      <w:r>
        <w:rPr>
          <w:rFonts w:ascii="微软雅黑" w:hAnsi="微软雅黑"/>
          <w:sz w:val="21"/>
        </w:rPr>
        <w:t>和</w:t>
      </w:r>
      <w:r>
        <w:rPr>
          <w:rFonts w:ascii="Consolas" w:hAnsi="Consolas"/>
          <w:color w:val="B43C3C"/>
          <w:sz w:val="18"/>
        </w:rPr>
        <w:t>Editor</w:t>
      </w:r>
      <w:r>
        <w:rPr>
          <w:rFonts w:ascii="微软雅黑" w:hAnsi="微软雅黑"/>
          <w:sz w:val="21"/>
        </w:rPr>
        <w:t>角色。当使用静态凭证时，对应第三方应用的服务用户需要被授予相关角色。当使用临时凭证时，获取凭证的用户需要相关角色。</w:t>
      </w:r>
    </w:p>
    <w:p>
      <w:pPr>
        <w:pStyle w:val="Heading3"/>
      </w:pPr>
      <w:r>
        <w:rPr>
          <w:rFonts w:ascii="微软雅黑" w:hAnsi="微软雅黑"/>
        </w:rPr>
        <w:t>路径风格URL访问</w:t>
      </w:r>
    </w:p>
    <w:p>
      <w:pPr>
        <w:spacing w:line="360" w:lineRule="auto" w:after="120"/>
      </w:pPr>
      <w:r>
        <w:rPr>
          <w:rFonts w:ascii="微软雅黑" w:hAnsi="微软雅黑"/>
          <w:sz w:val="21"/>
        </w:rPr>
        <w:t>API仅支持</w:t>
      </w:r>
      <w:r>
        <w:rPr>
          <w:rFonts w:ascii="微软雅黑" w:hAnsi="微软雅黑"/>
          <w:color w:val="0066CC"/>
          <w:sz w:val="21"/>
          <w:u w:val="single"/>
        </w:rPr>
        <w:t>路径风格 ↗</w:t>
      </w:r>
      <w:r>
        <w:rPr>
          <w:rFonts w:ascii="微软雅黑" w:hAnsi="微软雅黑"/>
          <w:sz w:val="21"/>
        </w:rPr>
        <w:t>桶访问。您的桶URL将采用格式</w:t>
      </w:r>
      <w:r>
        <w:rPr>
          <w:rFonts w:ascii="Consolas" w:hAnsi="Consolas"/>
          <w:color w:val="B43C3C"/>
          <w:sz w:val="18"/>
        </w:rPr>
        <w:t>https://&lt;FOUNDRY_URL&gt;/io/s3/&lt;bucket-name&gt;/&lt;key-name&gt;</w:t>
      </w:r>
      <w:r>
        <w:rPr>
          <w:rFonts w:ascii="微软雅黑" w:hAnsi="微软雅黑"/>
          <w:sz w:val="21"/>
        </w:rPr>
        <w:t>。</w:t>
      </w:r>
    </w:p>
    <w:p>
      <w:pPr>
        <w:spacing w:line="360" w:lineRule="auto" w:after="120"/>
      </w:pPr>
      <w:r>
        <w:rPr>
          <w:rFonts w:ascii="微软雅黑" w:hAnsi="微软雅黑"/>
          <w:sz w:val="21"/>
        </w:rPr>
        <w:t>在Foundry术语中，这意味着</w:t>
      </w:r>
      <w:r>
        <w:rPr>
          <w:rFonts w:ascii="Consolas" w:hAnsi="Consolas"/>
          <w:color w:val="B43C3C"/>
          <w:sz w:val="18"/>
        </w:rPr>
        <w:t>https://&lt;FOUNDRY_URL&gt;/io/s3/&lt;dataset-rid&gt;/&lt;logical-filepath&gt;</w:t>
      </w:r>
      <w:r>
        <w:rPr>
          <w:rFonts w:ascii="微软雅黑" w:hAnsi="微软雅黑"/>
          <w:sz w:val="21"/>
        </w:rPr>
        <w:t>。</w:t>
      </w:r>
    </w:p>
    <w:p>
      <w:pPr>
        <w:spacing w:line="360" w:lineRule="auto" w:after="120"/>
      </w:pPr>
      <w:r>
        <w:rPr>
          <w:rFonts w:ascii="微软雅黑" w:hAnsi="微软雅黑"/>
          <w:sz w:val="21"/>
        </w:rPr>
        <w:t>当前不支持虚拟主机风格的桶访问（其中桶名包含在URL的子域中）。</w:t>
      </w:r>
    </w:p>
    <w:p>
      <w:pPr>
        <w:pStyle w:val="Heading3"/>
      </w:pPr>
      <w:r>
        <w:rPr>
          <w:rFonts w:ascii="微软雅黑" w:hAnsi="微软雅黑"/>
        </w:rPr>
        <w:t>预签名URL</w:t>
      </w:r>
    </w:p>
    <w:p>
      <w:pPr>
        <w:spacing w:line="360" w:lineRule="auto" w:after="120"/>
      </w:pPr>
      <w:r>
        <w:rPr>
          <w:rFonts w:ascii="微软雅黑" w:hAnsi="微软雅黑"/>
          <w:sz w:val="21"/>
        </w:rPr>
        <w:t>预签名URL支持</w:t>
      </w:r>
      <w:r>
        <w:rPr>
          <w:rFonts w:ascii="Consolas" w:hAnsi="Consolas"/>
          <w:color w:val="B43C3C"/>
          <w:sz w:val="18"/>
        </w:rPr>
        <w:t>putObject</w:t>
      </w:r>
      <w:r>
        <w:rPr>
          <w:rFonts w:ascii="微软雅黑" w:hAnsi="微软雅黑"/>
          <w:sz w:val="21"/>
        </w:rPr>
        <w:t>操作。</w:t>
      </w:r>
    </w:p>
    <w:p>
      <w:pPr>
        <w:pStyle w:val="Heading2"/>
      </w:pPr>
      <w:r>
        <w:rPr>
          <w:rFonts w:ascii="微软雅黑" w:hAnsi="微软雅黑"/>
        </w:rPr>
        <w:t>设置指南</w:t>
      </w:r>
    </w:p>
    <w:p>
      <w:pPr>
        <w:spacing w:line="360" w:lineRule="auto" w:after="120"/>
      </w:pPr>
      <w:r>
        <w:rPr>
          <w:rFonts w:ascii="微软雅黑" w:hAnsi="微软雅黑"/>
          <w:sz w:val="21"/>
        </w:rPr>
        <w:t>按照以下步骤设置从您的S3客户端到API的连接。</w:t>
      </w:r>
    </w:p>
    <w:p>
      <w:pPr>
        <w:pStyle w:val="ListNumber"/>
        <w:spacing w:line="360" w:lineRule="auto" w:after="120"/>
      </w:pPr>
      <w:r>
        <w:rPr>
          <w:rFonts w:ascii="微软雅黑" w:hAnsi="微软雅黑"/>
          <w:color w:val="0066CC"/>
          <w:sz w:val="21"/>
          <w:u w:val="single"/>
        </w:rPr>
        <w:t>在Foundry中注册第三方应用程序</w:t>
      </w:r>
    </w:p>
    <w:p>
      <w:pPr>
        <w:pStyle w:val="ListNumber"/>
        <w:spacing w:line="360" w:lineRule="auto" w:after="120"/>
      </w:pPr>
      <w:r>
        <w:rPr>
          <w:rFonts w:ascii="微软雅黑" w:hAnsi="微软雅黑"/>
          <w:color w:val="0066CC"/>
          <w:sz w:val="21"/>
          <w:u w:val="single"/>
        </w:rPr>
        <w:t>授予第三方应用程序的服务用户权限</w:t>
      </w:r>
    </w:p>
    <w:p>
      <w:pPr>
        <w:pStyle w:val="ListNumber"/>
        <w:spacing w:line="360" w:lineRule="auto" w:after="120"/>
      </w:pPr>
      <w:r>
        <w:rPr>
          <w:rFonts w:ascii="微软雅黑" w:hAnsi="微软雅黑"/>
          <w:color w:val="0066CC"/>
          <w:sz w:val="21"/>
          <w:u w:val="single"/>
        </w:rPr>
        <w:t>生成S3访问密钥ID和秘密访问密钥</w:t>
      </w:r>
    </w:p>
    <w:p>
      <w:pPr>
        <w:pStyle w:val="ListNumber"/>
        <w:spacing w:line="360" w:lineRule="auto" w:after="120"/>
      </w:pPr>
      <w:r>
        <w:rPr>
          <w:rFonts w:ascii="微软雅黑" w:hAnsi="微软雅黑"/>
          <w:color w:val="0066CC"/>
          <w:sz w:val="21"/>
          <w:u w:val="single"/>
        </w:rPr>
        <w:t>配置S3客户端</w:t>
      </w:r>
    </w:p>
    <w:p>
      <w:pPr>
        <w:spacing w:line="360" w:lineRule="auto" w:after="120"/>
      </w:pPr>
      <w:r>
        <w:rPr>
          <w:rFonts w:ascii="微软雅黑" w:hAnsi="微软雅黑"/>
          <w:color w:val="0066CC"/>
          <w:sz w:val="21"/>
          <w:u w:val="single"/>
        </w:rPr>
        <w:t>查看特定S3客户端的示例配置设置</w:t>
      </w:r>
      <w:r>
        <w:rPr>
          <w:rFonts w:ascii="微软雅黑" w:hAnsi="微软雅黑"/>
          <w:sz w:val="21"/>
        </w:rPr>
        <w:t>。</w:t>
      </w:r>
    </w:p>
    <w:p>
      <w:pPr>
        <w:pStyle w:val="Heading3"/>
      </w:pPr>
      <w:r>
        <w:rPr>
          <w:rFonts w:ascii="微软雅黑" w:hAnsi="微软雅黑"/>
        </w:rPr>
        <w:t>步骤1：在Foundry中注册第三方应用程序</w:t>
      </w:r>
    </w:p>
    <w:p>
      <w:pPr>
        <w:spacing w:line="360" w:lineRule="auto" w:after="120"/>
      </w:pPr>
      <w:r>
        <w:rPr>
          <w:rFonts w:ascii="微软雅黑" w:hAnsi="微软雅黑"/>
          <w:sz w:val="21"/>
        </w:rPr>
        <w:t>要获取S3兼容API的凭证，您首先需要获取在Foundry的控制面板中创建的</w:t>
      </w:r>
      <w:r>
        <w:rPr>
          <w:rFonts w:ascii="微软雅黑" w:hAnsi="微软雅黑"/>
          <w:color w:val="0066CC"/>
          <w:sz w:val="21"/>
          <w:u w:val="single"/>
        </w:rPr>
        <w:t>第三方应用程序</w:t>
      </w:r>
      <w:r>
        <w:rPr>
          <w:rFonts w:ascii="微软雅黑" w:hAnsi="微软雅黑"/>
          <w:sz w:val="21"/>
        </w:rPr>
        <w:t>的客户端ID和秘密：</w:t>
      </w:r>
    </w:p>
    <w:p>
      <w:pPr>
        <w:pStyle w:val="ListNumber"/>
        <w:spacing w:line="360" w:lineRule="auto" w:after="120"/>
      </w:pPr>
      <w:r>
        <w:rPr>
          <w:rFonts w:ascii="微软雅黑" w:hAnsi="微软雅黑"/>
          <w:sz w:val="21"/>
        </w:rPr>
        <w:t>在Foundry中打开</w:t>
      </w:r>
      <w:r>
        <w:rPr>
          <w:rFonts w:ascii="微软雅黑" w:hAnsi="微软雅黑"/>
          <w:b/>
          <w:sz w:val="21"/>
        </w:rPr>
        <w:t>控制面板</w:t>
      </w:r>
      <w:r>
        <w:rPr>
          <w:rFonts w:ascii="微软雅黑" w:hAnsi="微软雅黑"/>
          <w:sz w:val="21"/>
        </w:rPr>
        <w:t>。</w:t>
      </w:r>
    </w:p>
    <w:p>
      <w:pPr>
        <w:pStyle w:val="ListNumber"/>
        <w:spacing w:line="360" w:lineRule="auto" w:after="120"/>
      </w:pPr>
      <w:r>
        <w:rPr>
          <w:rFonts w:ascii="微软雅黑" w:hAnsi="微软雅黑"/>
          <w:sz w:val="21"/>
        </w:rPr>
        <w:t>在侧边栏中选择</w:t>
      </w:r>
      <w:r>
        <w:rPr>
          <w:rFonts w:ascii="微软雅黑" w:hAnsi="微软雅黑"/>
          <w:b/>
          <w:sz w:val="21"/>
        </w:rPr>
        <w:t>第三方应用程序</w:t>
      </w:r>
      <w:r>
        <w:rPr>
          <w:rFonts w:ascii="微软雅黑" w:hAnsi="微软雅黑"/>
          <w:sz w:val="21"/>
        </w:rPr>
        <w:t>。</w:t>
      </w:r>
    </w:p>
    <w:p>
      <w:pPr>
        <w:pStyle w:val="ListNumber"/>
        <w:spacing w:line="360" w:lineRule="auto" w:after="120"/>
      </w:pPr>
      <w:r>
        <w:rPr>
          <w:rFonts w:ascii="微软雅黑" w:hAnsi="微软雅黑"/>
          <w:sz w:val="21"/>
        </w:rPr>
        <w:t>选择</w:t>
      </w:r>
      <w:r>
        <w:rPr>
          <w:rFonts w:ascii="微软雅黑" w:hAnsi="微软雅黑"/>
          <w:b/>
          <w:sz w:val="21"/>
        </w:rPr>
        <w:t>新建应用程序</w:t>
      </w:r>
      <w:r>
        <w:rPr>
          <w:rFonts w:ascii="微软雅黑" w:hAnsi="微软雅黑"/>
          <w:sz w:val="21"/>
        </w:rPr>
        <w:t>，然后使用以下参数完成设置向导：</w:t>
      </w:r>
    </w:p>
    <w:p>
      <w:pPr>
        <w:pStyle w:val="ListBullet"/>
        <w:spacing w:line="360" w:lineRule="auto" w:after="120"/>
      </w:pPr>
      <w:r>
        <w:rPr>
          <w:rFonts w:ascii="微软雅黑" w:hAnsi="微软雅黑"/>
          <w:b/>
          <w:sz w:val="21"/>
        </w:rPr>
        <w:t>客户端类型：</w:t>
      </w:r>
      <w:r>
        <w:rPr>
          <w:rFonts w:ascii="微软雅黑" w:hAnsi="微软雅黑"/>
          <w:sz w:val="21"/>
        </w:rPr>
        <w:t>选择</w:t>
      </w:r>
      <w:r>
        <w:rPr>
          <w:rFonts w:ascii="微软雅黑" w:hAnsi="微软雅黑"/>
          <w:b/>
          <w:sz w:val="21"/>
        </w:rPr>
        <w:t>机密客户端</w:t>
      </w:r>
      <w:r>
        <w:rPr>
          <w:rFonts w:ascii="微软雅黑" w:hAnsi="微软雅黑"/>
          <w:sz w:val="21"/>
        </w:rPr>
        <w:t>。</w:t>
      </w:r>
    </w:p>
    <w:p>
      <w:pPr>
        <w:pStyle w:val="ListBullet"/>
        <w:spacing w:line="360" w:lineRule="auto" w:after="120"/>
      </w:pPr>
      <w:r>
        <w:rPr>
          <w:rFonts w:ascii="微软雅黑" w:hAnsi="微软雅黑"/>
          <w:b/>
          <w:sz w:val="21"/>
        </w:rPr>
        <w:t>授权许可类型：</w:t>
      </w:r>
      <w:r>
        <w:rPr>
          <w:rFonts w:ascii="微软雅黑" w:hAnsi="微软雅黑"/>
          <w:sz w:val="21"/>
        </w:rPr>
        <w:t>启用</w:t>
      </w:r>
      <w:r>
        <w:rPr>
          <w:rFonts w:ascii="微软雅黑" w:hAnsi="微软雅黑"/>
          <w:b/>
          <w:sz w:val="21"/>
        </w:rPr>
        <w:t>客户端凭证许可</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摘要</w:t>
      </w:r>
      <w:r>
        <w:rPr>
          <w:rFonts w:ascii="微软雅黑" w:hAnsi="微软雅黑"/>
          <w:sz w:val="21"/>
        </w:rPr>
        <w:t>页面的右下角选择</w:t>
      </w:r>
      <w:r>
        <w:rPr>
          <w:rFonts w:ascii="微软雅黑" w:hAnsi="微软雅黑"/>
          <w:b/>
          <w:sz w:val="21"/>
        </w:rPr>
        <w:t>注册应用程序</w:t>
      </w:r>
      <w:r>
        <w:rPr>
          <w:rFonts w:ascii="微软雅黑" w:hAnsi="微软雅黑"/>
          <w:sz w:val="21"/>
        </w:rPr>
        <w:t>。</w:t>
      </w:r>
    </w:p>
    <w:p>
      <w:pPr>
        <w:pStyle w:val="ListNumber"/>
        <w:spacing w:line="360" w:lineRule="auto" w:after="120"/>
      </w:pPr>
      <w:r>
        <w:rPr>
          <w:rFonts w:ascii="微软雅黑" w:hAnsi="微软雅黑"/>
          <w:sz w:val="21"/>
        </w:rPr>
        <w:t>在完成屏幕上，记录下</w:t>
      </w:r>
      <w:r>
        <w:rPr>
          <w:rFonts w:ascii="微软雅黑" w:hAnsi="微软雅黑"/>
          <w:b/>
          <w:sz w:val="21"/>
        </w:rPr>
        <w:t>客户端ID</w:t>
      </w:r>
      <w:r>
        <w:rPr>
          <w:rFonts w:ascii="微软雅黑" w:hAnsi="微软雅黑"/>
          <w:sz w:val="21"/>
        </w:rPr>
        <w:t>，因为这将在后续步骤中需要。然后选择</w:t>
      </w:r>
      <w:r>
        <w:rPr>
          <w:rFonts w:ascii="微软雅黑" w:hAnsi="微软雅黑"/>
          <w:b/>
          <w:sz w:val="21"/>
        </w:rPr>
        <w:t>启用应用程序使用</w:t>
      </w:r>
      <w:r>
        <w:rPr>
          <w:rFonts w:ascii="微软雅黑" w:hAnsi="微软雅黑"/>
          <w:sz w:val="21"/>
        </w:rPr>
        <w:t>并使用切换开关</w:t>
      </w:r>
      <w:r>
        <w:rPr>
          <w:rFonts w:ascii="微软雅黑" w:hAnsi="微软雅黑"/>
          <w:b/>
          <w:sz w:val="21"/>
        </w:rPr>
        <w:t>启用</w:t>
      </w:r>
      <w:r>
        <w:rPr>
          <w:rFonts w:ascii="微软雅黑" w:hAnsi="微软雅黑"/>
          <w:sz w:val="21"/>
        </w:rPr>
        <w:t>它。</w:t>
      </w:r>
    </w:p>
    <w:p>
      <w:pPr>
        <w:spacing w:line="360" w:lineRule="auto" w:after="120"/>
      </w:pPr>
      <w:r>
        <w:rPr>
          <w:rFonts w:ascii="微软雅黑" w:hAnsi="微软雅黑"/>
          <w:sz w:val="21"/>
        </w:rPr>
        <w:t>查看</w:t>
      </w:r>
      <w:r>
        <w:rPr>
          <w:rFonts w:ascii="微软雅黑" w:hAnsi="微软雅黑"/>
          <w:color w:val="0066CC"/>
          <w:sz w:val="21"/>
          <w:u w:val="single"/>
        </w:rPr>
        <w:t>概念：认证</w:t>
      </w:r>
      <w:r>
        <w:rPr>
          <w:rFonts w:ascii="微软雅黑" w:hAnsi="微软雅黑"/>
          <w:sz w:val="21"/>
        </w:rPr>
        <w:t>以了解项目限制的要求和行为，以及生成凭证的范围。</w:t>
      </w:r>
    </w:p>
    <w:p>
      <w:pPr>
        <w:pStyle w:val="Heading3"/>
      </w:pPr>
      <w:r>
        <w:rPr>
          <w:rFonts w:ascii="微软雅黑" w:hAnsi="微软雅黑"/>
        </w:rPr>
        <w:t>步骤2：授予第三方应用程序的服务用户权限</w:t>
      </w:r>
    </w:p>
    <w:p>
      <w:pPr>
        <w:spacing w:line="360" w:lineRule="auto" w:after="120"/>
      </w:pPr>
      <w:r>
        <w:rPr>
          <w:rFonts w:ascii="微软雅黑" w:hAnsi="微软雅黑"/>
          <w:sz w:val="21"/>
        </w:rPr>
        <w:t>当您在上一步中创建第三方应用程序时，Foundry会自动创建一个服务用户。要通过S3 API访问数据集，此服务用户必须在相关项目和权限标记上具有足够的权限。</w:t>
      </w:r>
    </w:p>
    <w:p>
      <w:pPr>
        <w:spacing w:line="360" w:lineRule="auto" w:after="120"/>
      </w:pPr>
      <w:r>
        <w:rPr>
          <w:rFonts w:ascii="微软雅黑" w:hAnsi="微软雅黑"/>
          <w:sz w:val="21"/>
        </w:rPr>
        <w:t>为服务用户设置权限：</w:t>
      </w:r>
    </w:p>
    <w:p>
      <w:pPr>
        <w:pStyle w:val="ListNumber"/>
        <w:spacing w:line="360" w:lineRule="auto" w:after="120"/>
      </w:pPr>
      <w:r>
        <w:rPr>
          <w:rFonts w:ascii="微软雅黑" w:hAnsi="微软雅黑"/>
          <w:sz w:val="21"/>
        </w:rPr>
        <w:t>找到服务用户的名称和ID。您可以在应用程序的“管理应用程序”页面上，在</w:t>
      </w:r>
      <w:r>
        <w:rPr>
          <w:rFonts w:ascii="微软雅黑" w:hAnsi="微软雅黑"/>
          <w:b/>
          <w:sz w:val="21"/>
        </w:rPr>
        <w:t>授权许可类型</w:t>
      </w:r>
      <w:r>
        <w:rPr>
          <w:rFonts w:ascii="微软雅黑" w:hAnsi="微软雅黑"/>
          <w:sz w:val="21"/>
        </w:rPr>
        <w:t xml:space="preserve"> &gt; </w:t>
      </w:r>
      <w:r>
        <w:rPr>
          <w:rFonts w:ascii="微软雅黑" w:hAnsi="微软雅黑"/>
          <w:b/>
          <w:sz w:val="21"/>
        </w:rPr>
        <w:t>客户端凭证许可</w:t>
      </w:r>
      <w:r>
        <w:rPr>
          <w:rFonts w:ascii="微软雅黑" w:hAnsi="微软雅黑"/>
          <w:sz w:val="21"/>
        </w:rPr>
        <w:t xml:space="preserve"> &gt; </w:t>
      </w:r>
      <w:r>
        <w:rPr>
          <w:rFonts w:ascii="微软雅黑" w:hAnsi="微软雅黑"/>
          <w:b/>
          <w:sz w:val="21"/>
        </w:rPr>
        <w:t>服务用户</w:t>
      </w:r>
      <w:r>
        <w:rPr>
          <w:rFonts w:ascii="微软雅黑" w:hAnsi="微软雅黑"/>
          <w:sz w:val="21"/>
        </w:rPr>
        <w:t>下找到这些详细信息。</w:t>
      </w:r>
    </w:p>
    <w:p>
      <w:pPr>
        <w:pStyle w:val="ListNumber"/>
        <w:spacing w:line="360" w:lineRule="auto" w:after="120"/>
      </w:pPr>
      <w:r>
        <w:rPr>
          <w:rFonts w:ascii="微软雅黑" w:hAnsi="微软雅黑"/>
          <w:sz w:val="21"/>
        </w:rPr>
        <w:t>授予服务用户权限，可以直接将用户添加到项目和权限标记中，或将用户添加到已被授予这些权限的组中。</w:t>
      </w:r>
    </w:p>
    <w:p>
      <w:pPr>
        <w:pStyle w:val="Heading3"/>
      </w:pPr>
      <w:r>
        <w:rPr>
          <w:rFonts w:ascii="微软雅黑" w:hAnsi="微软雅黑"/>
        </w:rPr>
        <w:t>步骤3：生成S3访问密钥ID和秘密访问密钥</w:t>
      </w:r>
    </w:p>
    <w:p>
      <w:pPr>
        <w:spacing w:line="360" w:lineRule="auto" w:after="120"/>
      </w:pPr>
      <w:r>
        <w:rPr>
          <w:rFonts w:ascii="微软雅黑" w:hAnsi="微软雅黑"/>
          <w:sz w:val="21"/>
        </w:rPr>
        <w:t>要生成凭证，您需要在</w:t>
      </w:r>
      <w:r>
        <w:rPr>
          <w:rFonts w:ascii="微软雅黑" w:hAnsi="微软雅黑"/>
          <w:color w:val="0066CC"/>
          <w:sz w:val="21"/>
          <w:u w:val="single"/>
        </w:rPr>
        <w:t>控制面板</w:t>
      </w:r>
      <w:r>
        <w:rPr>
          <w:rFonts w:ascii="微软雅黑" w:hAnsi="微软雅黑"/>
          <w:sz w:val="21"/>
        </w:rPr>
        <w:t>上具有“用户体验管理员”角色。</w:t>
      </w:r>
    </w:p>
    <w:p>
      <w:pPr>
        <w:spacing w:line="360" w:lineRule="auto" w:after="120"/>
      </w:pPr>
      <w:r>
        <w:rPr>
          <w:rFonts w:ascii="微软雅黑" w:hAnsi="微软雅黑"/>
          <w:sz w:val="21"/>
        </w:rPr>
        <w:t>运行下面的终端命令（使用curl或Powershell），以接收访问密钥ID和秘密访问密钥。用您用户帐户的有效词元替换</w:t>
      </w:r>
      <w:r>
        <w:rPr>
          <w:rFonts w:ascii="Consolas" w:hAnsi="Consolas"/>
          <w:color w:val="B43C3C"/>
          <w:sz w:val="18"/>
        </w:rPr>
        <w:t>&lt;TOKEN&gt;</w:t>
      </w:r>
      <w:r>
        <w:rPr>
          <w:rFonts w:ascii="微软雅黑" w:hAnsi="微软雅黑"/>
          <w:sz w:val="21"/>
        </w:rPr>
        <w:t>，用在上一步中生成的第三方应用程序的客户端ID替换</w:t>
      </w:r>
      <w:r>
        <w:rPr>
          <w:rFonts w:ascii="Consolas" w:hAnsi="Consolas"/>
          <w:color w:val="B43C3C"/>
          <w:sz w:val="18"/>
        </w:rPr>
        <w:t>&lt;CLIENT_ID&gt;</w:t>
      </w:r>
      <w:r>
        <w:rPr>
          <w:rFonts w:ascii="微软雅黑" w:hAnsi="微软雅黑"/>
          <w:sz w:val="21"/>
        </w:rPr>
        <w:t>。此外，您必须用凭证有访问权限的项目的RID替换</w:t>
      </w:r>
      <w:r>
        <w:rPr>
          <w:rFonts w:ascii="Consolas" w:hAnsi="Consolas"/>
          <w:color w:val="B43C3C"/>
          <w:sz w:val="18"/>
        </w:rPr>
        <w:t>&lt;PROJECT_RID&gt;</w:t>
      </w:r>
      <w:r>
        <w:rPr>
          <w:rFonts w:ascii="微软雅黑" w:hAnsi="微软雅黑"/>
          <w:sz w:val="21"/>
        </w:rPr>
        <w:t>。</w:t>
      </w:r>
      <w:r>
        <w:rPr>
          <w:rFonts w:ascii="Consolas" w:hAnsi="Consolas"/>
          <w:color w:val="B43C3C"/>
          <w:sz w:val="18"/>
        </w:rPr>
        <w:t>projectRestrictions</w:t>
      </w:r>
      <w:r>
        <w:rPr>
          <w:rFonts w:ascii="微软雅黑" w:hAnsi="微软雅黑"/>
          <w:sz w:val="21"/>
        </w:rPr>
        <w:t>值可以包含多个项目，如果需要，可以列出更多的项目RID。</w:t>
      </w:r>
    </w:p>
    <w:p>
      <w:pPr>
        <w:spacing w:line="360" w:lineRule="auto" w:after="120"/>
      </w:pPr>
      <w:r>
        <w:rPr>
          <w:rFonts w:ascii="微软雅黑" w:hAnsi="微软雅黑"/>
          <w:sz w:val="21"/>
        </w:rPr>
        <w:t>#### 选项1：curl</w:t>
      </w:r>
    </w:p>
    <w:p>
      <w:pPr>
        <w:spacing w:before="80" w:after="80"/>
        <w:ind w:left="567"/>
      </w:pPr>
      <w:r>
        <w:rPr>
          <w:rFonts w:ascii="Consolas" w:hAnsi="Consolas"/>
          <w:color w:val="505050"/>
          <w:sz w:val="18"/>
        </w:rPr>
        <w:t>curl -X POST \</w:t>
        <w:br/>
        <w:t xml:space="preserve">    -H "Authorization: Bearer &lt;TOKEN&gt;" \ # 使用Bearer令牌进行身份验证</w:t>
        <w:br/>
        <w:t xml:space="preserve">    -H "Content-type: application/json" \ # 设置内容类型为JSON格式</w:t>
        <w:br/>
        <w:t xml:space="preserve">    --data '{"clientId":"&lt;CLIENT_ID&gt;","projectRestrictions":["&lt;PROJECT_RID&gt;"]}' \ # 提交请求数据，包括客户端ID和项目限制</w:t>
        <w:br/>
        <w:t xml:space="preserve">    https://&lt;FOUNDRY_URL&gt;/io/s3/api/v2/credentials # 请求的URL，用于获取S3 API v2的凭证</w:t>
      </w:r>
    </w:p>
    <w:p>
      <w:pPr>
        <w:spacing w:line="360" w:lineRule="auto" w:after="120"/>
      </w:pPr>
      <w:r>
        <w:rPr>
          <w:rFonts w:ascii="微软雅黑" w:hAnsi="微软雅黑"/>
          <w:sz w:val="21"/>
        </w:rPr>
        <w:t>#### 选项 2：Powershell (Windows)</w:t>
      </w:r>
    </w:p>
    <w:p>
      <w:pPr>
        <w:spacing w:before="80" w:after="80"/>
        <w:ind w:left="567"/>
      </w:pPr>
      <w:r>
        <w:rPr>
          <w:rFonts w:ascii="Consolas" w:hAnsi="Consolas"/>
          <w:color w:val="505050"/>
          <w:sz w:val="18"/>
        </w:rPr>
        <w:t>$headers = @{</w:t>
        <w:br/>
        <w:t xml:space="preserve">    "Authorization" = "Bearer &lt;TOKEN&gt;"  # 使用Bearer令牌进行授权</w:t>
        <w:br/>
        <w:t xml:space="preserve">    "Content-type" = "application/json"  # 设置内容类型为JSON</w:t>
        <w:br/>
        <w:t>}</w:t>
        <w:br/>
        <w:t>$body = @{</w:t>
        <w:br/>
        <w:t xml:space="preserve">    "clientId" = "&lt;CLIENT_ID&gt;"  # 客户端ID</w:t>
        <w:br/>
        <w:t xml:space="preserve">    "projectRestrictions" = @("&lt;PROJECT_RID&gt;")  # 项目限制，使用项目ID</w:t>
        <w:br/>
        <w:t>} | ConvertTo-Json  # 将PowerShell对象转换为JSON格式</w:t>
        <w:br/>
        <w:t># 发送POST请求以获取凭证</w:t>
        <w:br/>
        <w:t>Invoke-WebRequest -Uri "https://&lt;FOUNDRY_URL&gt;/io/s3/api/v2/credentials" -Method POST -Headers $headers -Body $body</w:t>
      </w:r>
    </w:p>
    <w:p>
      <w:pPr>
        <w:spacing w:line="360" w:lineRule="auto" w:after="120"/>
      </w:pPr>
      <w:r>
        <w:rPr>
          <w:rFonts w:ascii="微软雅黑" w:hAnsi="微软雅黑"/>
          <w:sz w:val="21"/>
        </w:rPr>
        <w:t>安全地存储在此请求响应中收到的访问密钥和秘密密钥。您必须使用这些凭证配置客户端，而不是第三方应用程序的客户端ID和秘密。</w:t>
      </w:r>
    </w:p>
    <w:p>
      <w:pPr>
        <w:spacing w:line="360" w:lineRule="auto" w:after="120"/>
      </w:pPr>
      <w:r>
        <w:rPr>
          <w:rFonts w:ascii="微软雅黑" w:hAnsi="微软雅黑"/>
          <w:sz w:val="21"/>
        </w:rPr>
        <w:t>#### 指定组织</w:t>
      </w:r>
    </w:p>
    <w:p>
      <w:pPr>
        <w:spacing w:line="360" w:lineRule="auto" w:after="120"/>
      </w:pPr>
      <w:r>
        <w:rPr>
          <w:rFonts w:ascii="微软雅黑" w:hAnsi="微软雅黑"/>
          <w:sz w:val="21"/>
        </w:rPr>
        <w:t>默认情况下，</w:t>
      </w:r>
      <w:r>
        <w:rPr>
          <w:rFonts w:ascii="Consolas" w:hAnsi="Consolas"/>
          <w:color w:val="B43C3C"/>
          <w:sz w:val="18"/>
        </w:rPr>
        <w:t>/v2/credentials</w:t>
      </w:r>
      <w:r>
        <w:rPr>
          <w:rFonts w:ascii="微软雅黑" w:hAnsi="微软雅黑"/>
          <w:sz w:val="21"/>
        </w:rPr>
        <w:t xml:space="preserve"> 端点假设正在进行身份验证的用户正在为其自身</w:t>
      </w:r>
      <w:r>
        <w:rPr>
          <w:rFonts w:ascii="微软雅黑" w:hAnsi="微软雅黑"/>
          <w:color w:val="0066CC"/>
          <w:sz w:val="21"/>
          <w:u w:val="single"/>
        </w:rPr>
        <w:t>组织</w:t>
      </w:r>
      <w:r>
        <w:rPr>
          <w:rFonts w:ascii="微软雅黑" w:hAnsi="微软雅黑"/>
          <w:sz w:val="21"/>
        </w:rPr>
        <w:t>中的第三方应用程序生成凭证。如果第三方应用程序存在于不同的组织中，请在URL中将组织ID指定为查询参数：</w:t>
      </w:r>
      <w:r>
        <w:rPr>
          <w:rFonts w:ascii="Consolas" w:hAnsi="Consolas"/>
          <w:color w:val="B43C3C"/>
          <w:sz w:val="18"/>
        </w:rPr>
        <w:t>https://&lt;FOUNDRY_URL&gt;/io/s3/api/v2/credentials?organizationRid=&lt;ORGANIZATION_ID&gt;</w:t>
      </w:r>
      <w:r>
        <w:rPr>
          <w:rFonts w:ascii="微软雅黑" w:hAnsi="微软雅黑"/>
          <w:sz w:val="21"/>
        </w:rPr>
        <w:t>。</w:t>
      </w:r>
    </w:p>
    <w:p>
      <w:pPr>
        <w:spacing w:line="360" w:lineRule="auto" w:after="120"/>
      </w:pPr>
      <w:r>
        <w:rPr>
          <w:rFonts w:ascii="微软雅黑" w:hAnsi="微软雅黑"/>
          <w:sz w:val="21"/>
        </w:rPr>
        <w:t>#### 撤销凭证</w:t>
      </w:r>
    </w:p>
    <w:p>
      <w:pPr>
        <w:spacing w:line="360" w:lineRule="auto" w:after="120"/>
      </w:pPr>
      <w:r>
        <w:rPr>
          <w:rFonts w:ascii="微软雅黑" w:hAnsi="微软雅黑"/>
          <w:sz w:val="21"/>
        </w:rPr>
        <w:t xml:space="preserve">如果您需要撤销访问密钥和秘密访问密钥，请调用以下端点并将 </w:t>
      </w:r>
      <w:r>
        <w:rPr>
          <w:rFonts w:ascii="Consolas" w:hAnsi="Consolas"/>
          <w:color w:val="B43C3C"/>
          <w:sz w:val="18"/>
        </w:rPr>
        <w:t>&lt;ACCESS_KEY_ID&gt;</w:t>
      </w:r>
      <w:r>
        <w:rPr>
          <w:rFonts w:ascii="微软雅黑" w:hAnsi="微软雅黑"/>
          <w:sz w:val="21"/>
        </w:rPr>
        <w:t xml:space="preserve"> 替换为您希望撤销的访问密钥ID：</w:t>
      </w:r>
    </w:p>
    <w:p>
      <w:pPr>
        <w:spacing w:before="80" w:after="80"/>
        <w:ind w:left="567"/>
      </w:pPr>
      <w:r>
        <w:rPr>
          <w:rFonts w:ascii="Consolas" w:hAnsi="Consolas"/>
          <w:color w:val="505050"/>
          <w:sz w:val="18"/>
        </w:rPr>
        <w:t>curl -X DELETE \</w:t>
        <w:br/>
        <w:t xml:space="preserve">    -H "Authorization: Bearer &lt;TOKEN&gt;" \</w:t>
        <w:br/>
        <w:t xml:space="preserve">    https://&lt;FOUNDRY_URL&gt;/io/s3/api/v2/credentials/&lt;ACCESS_KEY_ID&gt;</w:t>
      </w:r>
    </w:p>
    <w:p>
      <w:pPr>
        <w:spacing w:line="360" w:lineRule="auto" w:after="120"/>
      </w:pPr>
      <w:r>
        <w:rPr>
          <w:rFonts w:ascii="微软雅黑" w:hAnsi="微软雅黑"/>
          <w:sz w:val="21"/>
        </w:rPr>
        <w:t xml:space="preserve">此命令使用 </w:t>
      </w:r>
      <w:r>
        <w:rPr>
          <w:rFonts w:ascii="Consolas" w:hAnsi="Consolas"/>
          <w:color w:val="B43C3C"/>
          <w:sz w:val="18"/>
        </w:rPr>
        <w:t>curl</w:t>
      </w:r>
      <w:r>
        <w:rPr>
          <w:rFonts w:ascii="微软雅黑" w:hAnsi="微软雅黑"/>
          <w:sz w:val="21"/>
        </w:rPr>
        <w:t xml:space="preserve"> 发送一个 HTTP DELETE 请求，主要用于删除特定的访问凭证。以下是具体说明：</w:t>
      </w:r>
    </w:p>
    <w:p>
      <w:pPr>
        <w:pStyle w:val="ListBullet"/>
        <w:spacing w:line="360" w:lineRule="auto" w:after="120"/>
      </w:pPr>
      <w:r>
        <w:rPr>
          <w:rFonts w:ascii="Consolas" w:hAnsi="Consolas"/>
          <w:color w:val="B43C3C"/>
          <w:sz w:val="18"/>
        </w:rPr>
        <w:t>-X DELETE</w:t>
      </w:r>
      <w:r>
        <w:rPr>
          <w:rFonts w:ascii="微软雅黑" w:hAnsi="微软雅黑"/>
          <w:sz w:val="21"/>
        </w:rPr>
        <w:t>：指定 HTTP 方法为 DELETE，用于删除资源。</w:t>
      </w:r>
    </w:p>
    <w:p>
      <w:pPr>
        <w:pStyle w:val="ListBullet"/>
        <w:spacing w:line="360" w:lineRule="auto" w:after="120"/>
      </w:pPr>
      <w:r>
        <w:rPr>
          <w:rFonts w:ascii="Consolas" w:hAnsi="Consolas"/>
          <w:color w:val="B43C3C"/>
          <w:sz w:val="18"/>
        </w:rPr>
        <w:t>-H "Authorization: Bearer &lt;TOKEN&gt;"</w:t>
      </w:r>
      <w:r>
        <w:rPr>
          <w:rFonts w:ascii="微软雅黑" w:hAnsi="微软雅黑"/>
          <w:sz w:val="21"/>
        </w:rPr>
        <w:t>：添加 HTTP 头部，使用 Bearer 令牌进行身份验证，确保请求的安全性。</w:t>
      </w:r>
    </w:p>
    <w:p>
      <w:pPr>
        <w:pStyle w:val="ListBullet"/>
        <w:spacing w:line="360" w:lineRule="auto" w:after="120"/>
      </w:pPr>
      <w:r>
        <w:rPr>
          <w:rFonts w:ascii="Consolas" w:hAnsi="Consolas"/>
          <w:color w:val="B43C3C"/>
          <w:sz w:val="18"/>
        </w:rPr>
        <w:t>https://&lt;FOUNDRY_URL&gt;/io/s3/api/v2/credentials/&lt;ACCESS_KEY_ID&gt;</w:t>
      </w:r>
      <w:r>
        <w:rPr>
          <w:rFonts w:ascii="微软雅黑" w:hAnsi="微软雅黑"/>
          <w:sz w:val="21"/>
        </w:rPr>
        <w:t xml:space="preserve">：请求的 URL，其中 </w:t>
      </w:r>
      <w:r>
        <w:rPr>
          <w:rFonts w:ascii="Consolas" w:hAnsi="Consolas"/>
          <w:color w:val="B43C3C"/>
          <w:sz w:val="18"/>
        </w:rPr>
        <w:t>&lt;FOUNDRY_URL&gt;</w:t>
      </w:r>
      <w:r>
        <w:rPr>
          <w:rFonts w:ascii="微软雅黑" w:hAnsi="微软雅黑"/>
          <w:sz w:val="21"/>
        </w:rPr>
        <w:t xml:space="preserve"> 是服务的基础 URL，</w:t>
      </w:r>
      <w:r>
        <w:rPr>
          <w:rFonts w:ascii="Consolas" w:hAnsi="Consolas"/>
          <w:color w:val="B43C3C"/>
          <w:sz w:val="18"/>
        </w:rPr>
        <w:t>&lt;ACCESS_KEY_ID&gt;</w:t>
      </w:r>
      <w:r>
        <w:rPr>
          <w:rFonts w:ascii="微软雅黑" w:hAnsi="微软雅黑"/>
          <w:sz w:val="21"/>
        </w:rPr>
        <w:t xml:space="preserve"> 是要删除的访问凭证的唯一标识符。</w:t>
      </w:r>
    </w:p>
    <w:p>
      <w:pPr>
        <w:pStyle w:val="Heading3"/>
      </w:pPr>
      <w:r>
        <w:rPr>
          <w:rFonts w:ascii="微软雅黑" w:hAnsi="微软雅黑"/>
        </w:rPr>
        <w:t>步骤4：配置S3客户端</w:t>
      </w:r>
    </w:p>
    <w:p>
      <w:pPr>
        <w:spacing w:line="360" w:lineRule="auto" w:after="120"/>
      </w:pPr>
      <w:r>
        <w:rPr>
          <w:rFonts w:ascii="微软雅黑" w:hAnsi="微软雅黑"/>
          <w:sz w:val="21"/>
        </w:rPr>
        <w:t>要配置S3客户端，您必须设置以下配置参数。有关如何在常见S3客户端中配置这些参数的详细信息，请参阅下方的</w:t>
      </w:r>
      <w:r>
        <w:rPr>
          <w:rFonts w:ascii="微软雅黑" w:hAnsi="微软雅黑"/>
          <w:color w:val="0066CC"/>
          <w:sz w:val="21"/>
          <w:u w:val="single"/>
        </w:rPr>
        <w:t>示例</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名称</w:t>
            </w:r>
          </w:p>
        </w:tc>
        <w:tc>
          <w:tcPr>
            <w:tcW w:type="dxa" w:w="2967"/>
          </w:tcPr>
          <w:p>
            <w:pPr>
              <w:spacing w:after="40" w:before="40"/>
            </w:pPr>
            <w:r>
              <w:rPr>
                <w:rFonts w:ascii="微软雅黑" w:hAnsi="微软雅黑"/>
                <w:sz w:val="20"/>
              </w:rPr>
              <w:t>值</w:t>
            </w:r>
          </w:p>
        </w:tc>
        <w:tc>
          <w:tcPr>
            <w:tcW w:type="dxa" w:w="2967"/>
          </w:tcPr>
          <w:p>
            <w:pPr>
              <w:spacing w:after="40" w:before="40"/>
            </w:pPr>
            <w:r>
              <w:rPr>
                <w:rFonts w:ascii="微软雅黑" w:hAnsi="微软雅黑"/>
                <w:sz w:val="20"/>
              </w:rPr>
              <w:t>描述</w:t>
            </w:r>
          </w:p>
        </w:tc>
      </w:tr>
      <w:tr>
        <w:tc>
          <w:tcPr>
            <w:tcW w:type="dxa" w:w="2967"/>
          </w:tcPr>
          <w:p>
            <w:pPr>
              <w:spacing w:after="40" w:before="40"/>
            </w:pPr>
            <w:r>
              <w:rPr>
                <w:rFonts w:ascii="微软雅黑" w:hAnsi="微软雅黑"/>
                <w:sz w:val="20"/>
              </w:rPr>
              <w:t>主机名 / 终端节点</w:t>
            </w:r>
          </w:p>
        </w:tc>
        <w:tc>
          <w:tcPr>
            <w:tcW w:type="dxa" w:w="2967"/>
          </w:tcPr>
          <w:p>
            <w:pPr>
              <w:spacing w:after="40" w:before="40"/>
            </w:pPr>
            <w:r>
              <w:rPr>
                <w:rFonts w:ascii="微软雅黑" w:hAnsi="微软雅黑"/>
                <w:sz w:val="20"/>
              </w:rPr>
              <w:t>`https://&lt;FOUNDRY_URL&gt;/io/s3`</w:t>
            </w:r>
          </w:p>
        </w:tc>
        <w:tc>
          <w:tcPr>
            <w:tcW w:type="dxa" w:w="2967"/>
          </w:tcPr>
          <w:p>
            <w:pPr>
              <w:spacing w:after="40" w:before="40"/>
            </w:pPr>
            <w:r>
              <w:rPr>
                <w:rFonts w:ascii="微软雅黑" w:hAnsi="微软雅黑"/>
                <w:sz w:val="20"/>
              </w:rPr>
              <w:t>客户端应连接的主机名（而不是AWS中托管的原生S3桶的`s3.amazonaws.com`）。</w:t>
            </w:r>
          </w:p>
        </w:tc>
      </w:tr>
      <w:tr>
        <w:tc>
          <w:tcPr>
            <w:tcW w:type="dxa" w:w="2967"/>
          </w:tcPr>
          <w:p>
            <w:pPr>
              <w:spacing w:after="40" w:before="40"/>
            </w:pPr>
            <w:r>
              <w:rPr>
                <w:rFonts w:ascii="微软雅黑" w:hAnsi="微软雅黑"/>
                <w:sz w:val="20"/>
              </w:rPr>
              <w:t>区域</w:t>
            </w:r>
          </w:p>
        </w:tc>
        <w:tc>
          <w:tcPr>
            <w:tcW w:type="dxa" w:w="2967"/>
          </w:tcPr>
          <w:p>
            <w:pPr>
              <w:spacing w:after="40" w:before="40"/>
            </w:pPr>
            <w:r>
              <w:rPr>
                <w:rFonts w:ascii="微软雅黑" w:hAnsi="微软雅黑"/>
                <w:sz w:val="20"/>
              </w:rPr>
              <w:t>`foundry`</w:t>
            </w:r>
          </w:p>
        </w:tc>
        <w:tc>
          <w:tcPr>
            <w:tcW w:type="dxa" w:w="2967"/>
          </w:tcPr>
          <w:p>
            <w:pPr>
              <w:spacing w:after="40" w:before="40"/>
            </w:pPr>
            <w:r>
              <w:rPr>
                <w:rFonts w:ascii="微软雅黑" w:hAnsi="微软雅黑"/>
                <w:sz w:val="20"/>
              </w:rPr>
              <w:t>区域必须设置为`foundry`，因为它是[V4签名验证 ↗](https://docs.aws.amazon.com/general/latest/gr/signature-version-4.html)过程的一部分。如果客户端只能使用标准AWS区域，则使用`us-east-1`。</w:t>
            </w:r>
          </w:p>
        </w:tc>
      </w:tr>
      <w:tr>
        <w:tc>
          <w:tcPr>
            <w:tcW w:type="dxa" w:w="2967"/>
          </w:tcPr>
          <w:p>
            <w:pPr>
              <w:spacing w:after="40" w:before="40"/>
            </w:pPr>
            <w:r>
              <w:rPr>
                <w:rFonts w:ascii="微软雅黑" w:hAnsi="微软雅黑"/>
                <w:sz w:val="20"/>
              </w:rPr>
              <w:t>凭证</w:t>
            </w:r>
          </w:p>
        </w:tc>
        <w:tc>
          <w:tcPr>
            <w:tcW w:type="dxa" w:w="2967"/>
          </w:tcPr>
          <w:p>
            <w:pPr>
              <w:spacing w:after="40" w:before="40"/>
            </w:pPr>
            <w:r>
              <w:rPr>
                <w:rFonts w:ascii="微软雅黑" w:hAnsi="微软雅黑"/>
                <w:sz w:val="20"/>
              </w:rPr>
              <w:t>访问密钥ID和密钥，以及非必填的会话词元</w:t>
            </w:r>
          </w:p>
        </w:tc>
        <w:tc>
          <w:tcPr>
            <w:tcW w:type="dxa" w:w="2967"/>
          </w:tcPr>
          <w:p>
            <w:pPr>
              <w:spacing w:after="40" w:before="40"/>
            </w:pPr>
            <w:r>
              <w:rPr>
                <w:rFonts w:ascii="微软雅黑" w:hAnsi="微软雅黑"/>
                <w:sz w:val="20"/>
              </w:rPr>
              <w:t>如上所述生成的[静态](#static-credentials)或[临时](#temporary-credentials)凭证。</w:t>
            </w:r>
          </w:p>
        </w:tc>
      </w:tr>
      <w:tr>
        <w:tc>
          <w:tcPr>
            <w:tcW w:type="dxa" w:w="2967"/>
          </w:tcPr>
          <w:p>
            <w:pPr>
              <w:spacing w:after="40" w:before="40"/>
            </w:pPr>
            <w:r>
              <w:rPr>
                <w:rFonts w:ascii="微软雅黑" w:hAnsi="微软雅黑"/>
                <w:sz w:val="20"/>
              </w:rPr>
              <w:t>路径样式访问</w:t>
            </w:r>
          </w:p>
        </w:tc>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该API仅支持[路径样式 ↗](https://docs.aws.amazon.com/AmazonS3/latest/userguide/VirtualHosting.html#path-style-access)桶访问，而不是虚拟主机样式桶访问。</w:t>
            </w:r>
          </w:p>
        </w:tc>
      </w:tr>
      <w:tr>
        <w:tc>
          <w:tcPr>
            <w:tcW w:type="dxa" w:w="2967"/>
          </w:tcPr>
          <w:p>
            <w:pPr>
              <w:spacing w:after="40" w:before="40"/>
            </w:pPr>
            <w:r>
              <w:rPr>
                <w:rFonts w:ascii="微软雅黑" w:hAnsi="微软雅黑"/>
                <w:sz w:val="20"/>
              </w:rPr>
              <w:t>桶名称（非必填）</w:t>
            </w:r>
          </w:p>
        </w:tc>
        <w:tc>
          <w:tcPr>
            <w:tcW w:type="dxa" w:w="2967"/>
          </w:tcPr>
          <w:p>
            <w:pPr>
              <w:spacing w:after="40" w:before="40"/>
            </w:pPr>
            <w:r>
              <w:rPr>
                <w:rFonts w:ascii="微软雅黑" w:hAnsi="微软雅黑"/>
                <w:sz w:val="20"/>
              </w:rPr>
              <w:t>`ri.foundry.main.dataset.&lt;uuid&gt;`</w:t>
            </w:r>
          </w:p>
        </w:tc>
        <w:tc>
          <w:tcPr>
            <w:tcW w:type="dxa" w:w="2967"/>
          </w:tcPr>
          <w:p>
            <w:pPr>
              <w:spacing w:after="40" w:before="40"/>
            </w:pPr>
            <w:r>
              <w:rPr>
                <w:rFonts w:ascii="微软雅黑" w:hAnsi="微软雅黑"/>
                <w:sz w:val="20"/>
              </w:rPr>
              <w:t>每个Foundry数据集都可以作为一个单独的S3桶访问，桶名称为数据集的RID。</w:t>
            </w:r>
          </w:p>
        </w:tc>
      </w:tr>
    </w:tbl>
    <w:p/>
    <w:p>
      <w:pPr>
        <w:pStyle w:val="Heading2"/>
      </w:pPr>
      <w:r>
        <w:rPr>
          <w:rFonts w:ascii="微软雅黑" w:hAnsi="微软雅黑"/>
        </w:rPr>
        <w:t>支持的操作</w:t>
      </w:r>
    </w:p>
    <w:p>
      <w:pPr>
        <w:spacing w:line="360" w:lineRule="auto" w:after="120"/>
      </w:pPr>
      <w:r>
        <w:rPr>
          <w:rFonts w:ascii="微软雅黑" w:hAnsi="微软雅黑"/>
          <w:sz w:val="21"/>
        </w:rPr>
        <w:t>支持以下</w:t>
      </w:r>
      <w:r>
        <w:rPr>
          <w:rFonts w:ascii="微软雅黑" w:hAnsi="微软雅黑"/>
          <w:color w:val="0066CC"/>
          <w:sz w:val="21"/>
          <w:u w:val="single"/>
        </w:rPr>
        <w:t>S3操作 ↗</w:t>
      </w:r>
      <w:r>
        <w:rPr>
          <w:rFonts w:ascii="微软雅黑" w:hAnsi="微软雅黑"/>
          <w:sz w:val="21"/>
        </w:rPr>
        <w:t>：</w:t>
      </w:r>
    </w:p>
    <w:p>
      <w:pPr>
        <w:pStyle w:val="ListBullet"/>
        <w:spacing w:line="360" w:lineRule="auto" w:after="120"/>
      </w:pPr>
      <w:r>
        <w:rPr>
          <w:rFonts w:ascii="微软雅黑" w:hAnsi="微软雅黑"/>
          <w:color w:val="0066CC"/>
          <w:sz w:val="21"/>
          <w:u w:val="single"/>
        </w:rPr>
        <w:t>AbortMultipartUpload ↗</w:t>
      </w:r>
    </w:p>
    <w:p>
      <w:pPr>
        <w:pStyle w:val="ListBullet"/>
        <w:spacing w:line="360" w:lineRule="auto" w:after="120"/>
      </w:pPr>
      <w:r>
        <w:rPr>
          <w:rFonts w:ascii="微软雅黑" w:hAnsi="微软雅黑"/>
          <w:color w:val="0066CC"/>
          <w:sz w:val="21"/>
          <w:u w:val="single"/>
        </w:rPr>
        <w:t>CompleteMultipartUpload ↗</w:t>
      </w:r>
    </w:p>
    <w:p>
      <w:pPr>
        <w:pStyle w:val="ListBullet"/>
        <w:spacing w:line="360" w:lineRule="auto" w:after="120"/>
      </w:pPr>
      <w:r>
        <w:rPr>
          <w:rFonts w:ascii="微软雅黑" w:hAnsi="微软雅黑"/>
          <w:color w:val="0066CC"/>
          <w:sz w:val="21"/>
          <w:u w:val="single"/>
        </w:rPr>
        <w:t>CopyObject ↗</w:t>
      </w:r>
    </w:p>
    <w:p>
      <w:pPr>
        <w:pStyle w:val="ListBullet"/>
        <w:spacing w:line="360" w:lineRule="auto" w:after="120"/>
      </w:pPr>
      <w:r>
        <w:rPr>
          <w:rFonts w:ascii="微软雅黑" w:hAnsi="微软雅黑"/>
          <w:color w:val="0066CC"/>
          <w:sz w:val="21"/>
          <w:u w:val="single"/>
        </w:rPr>
        <w:t>CreateMultipartUpload ↗</w:t>
      </w:r>
    </w:p>
    <w:p>
      <w:pPr>
        <w:pStyle w:val="ListBullet"/>
        <w:spacing w:line="360" w:lineRule="auto" w:after="120"/>
      </w:pPr>
      <w:r>
        <w:rPr>
          <w:rFonts w:ascii="微软雅黑" w:hAnsi="微软雅黑"/>
          <w:color w:val="0066CC"/>
          <w:sz w:val="21"/>
          <w:u w:val="single"/>
        </w:rPr>
        <w:t>DeleteObject ↗</w:t>
      </w:r>
    </w:p>
    <w:p>
      <w:pPr>
        <w:pStyle w:val="ListBullet"/>
        <w:spacing w:line="360" w:lineRule="auto" w:after="120"/>
      </w:pPr>
      <w:r>
        <w:rPr>
          <w:rFonts w:ascii="微软雅黑" w:hAnsi="微软雅黑"/>
          <w:color w:val="0066CC"/>
          <w:sz w:val="21"/>
          <w:u w:val="single"/>
        </w:rPr>
        <w:t>DeleteObjects ↗</w:t>
      </w:r>
    </w:p>
    <w:p>
      <w:pPr>
        <w:pStyle w:val="ListBullet"/>
        <w:spacing w:line="360" w:lineRule="auto" w:after="120"/>
      </w:pPr>
      <w:r>
        <w:rPr>
          <w:rFonts w:ascii="微软雅黑" w:hAnsi="微软雅黑"/>
          <w:color w:val="0066CC"/>
          <w:sz w:val="21"/>
          <w:u w:val="single"/>
        </w:rPr>
        <w:t>GetObject ↗</w:t>
      </w:r>
    </w:p>
    <w:p>
      <w:pPr>
        <w:pStyle w:val="ListBullet"/>
        <w:spacing w:line="360" w:lineRule="auto" w:after="120"/>
      </w:pPr>
      <w:r>
        <w:rPr>
          <w:rFonts w:ascii="微软雅黑" w:hAnsi="微软雅黑"/>
          <w:color w:val="0066CC"/>
          <w:sz w:val="21"/>
          <w:u w:val="single"/>
        </w:rPr>
        <w:t>HeadBucket ↗</w:t>
      </w:r>
    </w:p>
    <w:p>
      <w:pPr>
        <w:pStyle w:val="ListBullet"/>
        <w:spacing w:line="360" w:lineRule="auto" w:after="120"/>
      </w:pPr>
      <w:r>
        <w:rPr>
          <w:rFonts w:ascii="微软雅黑" w:hAnsi="微软雅黑"/>
          <w:color w:val="0066CC"/>
          <w:sz w:val="21"/>
          <w:u w:val="single"/>
        </w:rPr>
        <w:t>HeadObject ↗</w:t>
      </w:r>
    </w:p>
    <w:p>
      <w:pPr>
        <w:pStyle w:val="ListBullet"/>
        <w:spacing w:line="360" w:lineRule="auto" w:after="120"/>
      </w:pPr>
      <w:r>
        <w:rPr>
          <w:rFonts w:ascii="微软雅黑" w:hAnsi="微软雅黑"/>
          <w:color w:val="0066CC"/>
          <w:sz w:val="21"/>
          <w:u w:val="single"/>
        </w:rPr>
        <w:t>ListMultipartUploads ↗</w:t>
      </w:r>
    </w:p>
    <w:p>
      <w:pPr>
        <w:pStyle w:val="ListBullet"/>
        <w:spacing w:line="360" w:lineRule="auto" w:after="120"/>
      </w:pPr>
      <w:r>
        <w:rPr>
          <w:rFonts w:ascii="微软雅黑" w:hAnsi="微软雅黑"/>
          <w:color w:val="0066CC"/>
          <w:sz w:val="21"/>
          <w:u w:val="single"/>
        </w:rPr>
        <w:t>ListObjects ↗</w:t>
      </w:r>
    </w:p>
    <w:p>
      <w:pPr>
        <w:pStyle w:val="ListBullet"/>
        <w:spacing w:line="360" w:lineRule="auto" w:after="120"/>
      </w:pPr>
      <w:r>
        <w:rPr>
          <w:rFonts w:ascii="微软雅黑" w:hAnsi="微软雅黑"/>
          <w:color w:val="0066CC"/>
          <w:sz w:val="21"/>
          <w:u w:val="single"/>
        </w:rPr>
        <w:t>ListObjectsV2 ↗</w:t>
      </w:r>
    </w:p>
    <w:p>
      <w:pPr>
        <w:pStyle w:val="ListBullet"/>
        <w:spacing w:line="360" w:lineRule="auto" w:after="120"/>
      </w:pPr>
      <w:r>
        <w:rPr>
          <w:rFonts w:ascii="微软雅黑" w:hAnsi="微软雅黑"/>
          <w:color w:val="0066CC"/>
          <w:sz w:val="21"/>
          <w:u w:val="single"/>
        </w:rPr>
        <w:t>ListParts ↗</w:t>
      </w:r>
    </w:p>
    <w:p>
      <w:pPr>
        <w:pStyle w:val="ListBullet"/>
        <w:spacing w:line="360" w:lineRule="auto" w:after="120"/>
      </w:pPr>
      <w:r>
        <w:rPr>
          <w:rFonts w:ascii="微软雅黑" w:hAnsi="微软雅黑"/>
          <w:color w:val="0066CC"/>
          <w:sz w:val="21"/>
          <w:u w:val="single"/>
        </w:rPr>
        <w:t>PutObject ↗</w:t>
      </w:r>
    </w:p>
    <w:p>
      <w:pPr>
        <w:pStyle w:val="ListBullet"/>
        <w:spacing w:line="360" w:lineRule="auto" w:after="120"/>
      </w:pPr>
      <w:r>
        <w:rPr>
          <w:rFonts w:ascii="微软雅黑" w:hAnsi="微软雅黑"/>
          <w:color w:val="0066CC"/>
          <w:sz w:val="21"/>
          <w:u w:val="single"/>
        </w:rPr>
        <w:t>UploadPart ↗</w:t>
      </w:r>
    </w:p>
    <w:p>
      <w:pPr>
        <w:pStyle w:val="Heading2"/>
      </w:pPr>
      <w:r>
        <w:rPr>
          <w:rFonts w:ascii="微软雅黑" w:hAnsi="微软雅黑"/>
        </w:rPr>
        <w:t>客户端设置示例</w:t>
      </w:r>
    </w:p>
    <w:p>
      <w:pPr>
        <w:spacing w:line="360" w:lineRule="auto" w:after="120"/>
      </w:pPr>
      <w:r>
        <w:rPr>
          <w:rFonts w:ascii="微软雅黑" w:hAnsi="微软雅黑"/>
          <w:sz w:val="21"/>
        </w:rPr>
        <w:t>如上所述，您必须确保客户端/SDK/连接器配置为使用路径样式桶访问。如果客户端不支持路径样式桶访问，目前与此API不兼容。例如，在</w:t>
      </w:r>
      <w:r>
        <w:rPr>
          <w:rFonts w:ascii="微软雅黑" w:hAnsi="微软雅黑"/>
          <w:color w:val="0066CC"/>
          <w:sz w:val="21"/>
          <w:u w:val="single"/>
        </w:rPr>
        <w:t>S3A Hadoop客户端 ↗</w:t>
      </w:r>
      <w:r>
        <w:rPr>
          <w:rFonts w:ascii="微软雅黑" w:hAnsi="微软雅黑"/>
          <w:sz w:val="21"/>
        </w:rPr>
        <w:t>中，可以使用</w:t>
      </w:r>
      <w:r>
        <w:rPr>
          <w:rFonts w:ascii="Consolas" w:hAnsi="Consolas"/>
          <w:color w:val="B43C3C"/>
          <w:sz w:val="18"/>
        </w:rPr>
        <w:t>fs.s3a.path.style.access</w:t>
      </w:r>
      <w:r>
        <w:rPr>
          <w:rFonts w:ascii="微软雅黑" w:hAnsi="微软雅黑"/>
          <w:sz w:val="21"/>
        </w:rPr>
        <w:t>标志进行配置。</w:t>
      </w:r>
    </w:p>
    <w:p>
      <w:pPr>
        <w:spacing w:line="360" w:lineRule="auto" w:after="120"/>
      </w:pPr>
      <w:r>
        <w:rPr>
          <w:rFonts w:ascii="微软雅黑" w:hAnsi="微软雅黑"/>
          <w:sz w:val="21"/>
        </w:rPr>
        <w:t>如果您使用</w:t>
      </w:r>
      <w:r>
        <w:rPr>
          <w:rFonts w:ascii="微软雅黑" w:hAnsi="微软雅黑"/>
          <w:color w:val="0066CC"/>
          <w:sz w:val="21"/>
          <w:u w:val="single"/>
        </w:rPr>
        <w:t>临时凭证</w:t>
      </w:r>
      <w:r>
        <w:rPr>
          <w:rFonts w:ascii="微软雅黑" w:hAnsi="微软雅黑"/>
          <w:sz w:val="21"/>
        </w:rPr>
        <w:t>，请务必同时配置AWS会话访问词元。请参阅相关的AWS客户端文档了解详情。例如，对于</w:t>
      </w:r>
      <w:r>
        <w:rPr>
          <w:rFonts w:ascii="微软雅黑" w:hAnsi="微软雅黑"/>
          <w:color w:val="0066CC"/>
          <w:sz w:val="21"/>
          <w:u w:val="single"/>
        </w:rPr>
        <w:t>AWS CLI ↗</w:t>
      </w:r>
      <w:r>
        <w:rPr>
          <w:rFonts w:ascii="微软雅黑" w:hAnsi="微软雅黑"/>
          <w:sz w:val="21"/>
        </w:rPr>
        <w:t>，您应该设置</w:t>
      </w:r>
      <w:r>
        <w:rPr>
          <w:rFonts w:ascii="Consolas" w:hAnsi="Consolas"/>
          <w:color w:val="B43C3C"/>
          <w:sz w:val="18"/>
        </w:rPr>
        <w:t>AWS_SESSION_TOKEN</w:t>
      </w:r>
      <w:r>
        <w:rPr>
          <w:rFonts w:ascii="微软雅黑" w:hAnsi="微软雅黑"/>
          <w:sz w:val="21"/>
        </w:rPr>
        <w:t>环境变量。</w:t>
      </w:r>
    </w:p>
    <w:p>
      <w:pPr>
        <w:pStyle w:val="Heading3"/>
      </w:pPr>
      <w:r>
        <w:rPr>
          <w:rFonts w:ascii="微软雅黑" w:hAnsi="微软雅黑"/>
        </w:rPr>
        <w:t>AWS CLI</w:t>
      </w:r>
    </w:p>
    <w:p>
      <w:pPr>
        <w:spacing w:line="360" w:lineRule="auto" w:after="120"/>
      </w:pPr>
      <w:r>
        <w:rPr>
          <w:rFonts w:ascii="微软雅黑" w:hAnsi="微软雅黑"/>
          <w:sz w:val="21"/>
        </w:rPr>
        <w:t>一旦您有了访问密钥ID和密钥，就可以配置</w:t>
      </w:r>
      <w:r>
        <w:rPr>
          <w:rFonts w:ascii="微软雅黑" w:hAnsi="微软雅黑"/>
          <w:color w:val="0066CC"/>
          <w:sz w:val="21"/>
          <w:u w:val="single"/>
        </w:rPr>
        <w:t>AWS CLI ↗</w:t>
      </w:r>
      <w:r>
        <w:rPr>
          <w:rFonts w:ascii="微软雅黑" w:hAnsi="微软雅黑"/>
          <w:sz w:val="21"/>
        </w:rPr>
        <w:t>。运行以下命令，输入访问密钥ID、密钥和区域。</w:t>
      </w:r>
    </w:p>
    <w:p>
      <w:pPr>
        <w:spacing w:before="80" w:after="80"/>
        <w:ind w:left="567"/>
      </w:pPr>
      <w:r>
        <w:rPr>
          <w:rFonts w:ascii="Consolas" w:hAnsi="Consolas"/>
          <w:color w:val="505050"/>
          <w:sz w:val="18"/>
        </w:rPr>
        <w:t># 配置AWS命令行界面（CLI）的示例，使用名为"foundry"的配置文件。</w:t>
        <w:br/>
        <w:t>$ aws configure --profile foundry</w:t>
        <w:br/>
        <w:t># 输入AWS访问密钥ID</w:t>
        <w:br/>
        <w:t>AWS Access Key ID [None]: &lt;ACCESS_KEY_ID&gt;</w:t>
        <w:br/>
        <w:t># 输入AWS秘密访问密钥</w:t>
        <w:br/>
        <w:t>AWS Secret Access Key [None]: &lt;SECRET_ACCESS_KEY&gt;</w:t>
        <w:br/>
        <w:t># 设置默认区域名称，这里填写为"foundry"</w:t>
        <w:br/>
        <w:t>Default region name [None]: foundry</w:t>
        <w:br/>
        <w:t># 设置默认输出格式，这里为空，表示使用默认值</w:t>
        <w:br/>
        <w:t>Default output format [None]:</w:t>
      </w:r>
    </w:p>
    <w:p>
      <w:pPr>
        <w:spacing w:line="360" w:lineRule="auto" w:after="120"/>
      </w:pPr>
      <w:r>
        <w:rPr>
          <w:rFonts w:ascii="微软雅黑" w:hAnsi="微软雅黑"/>
          <w:sz w:val="21"/>
        </w:rPr>
        <w:t>这段代码用于配置AWS CLI工具的凭证和默认设置，以便通过"foundry"配置文件与AWS服务进行交互。</w:t>
      </w:r>
    </w:p>
    <w:p>
      <w:pPr>
        <w:spacing w:line="360" w:lineRule="auto" w:after="120"/>
      </w:pPr>
      <w:r>
        <w:rPr>
          <w:rFonts w:ascii="微软雅黑" w:hAnsi="微软雅黑"/>
          <w:sz w:val="21"/>
        </w:rPr>
        <w:t>您现在应该能够为</w:t>
      </w:r>
      <w:r>
        <w:rPr>
          <w:rFonts w:ascii="Consolas" w:hAnsi="Consolas"/>
          <w:color w:val="B43C3C"/>
          <w:sz w:val="18"/>
        </w:rPr>
        <w:t>foundry</w:t>
      </w:r>
      <w:r>
        <w:rPr>
          <w:rFonts w:ascii="微软雅黑" w:hAnsi="微软雅黑"/>
          <w:sz w:val="21"/>
        </w:rPr>
        <w:t>配置文件运行命令。例如：</w:t>
      </w:r>
    </w:p>
    <w:p>
      <w:pPr>
        <w:spacing w:before="80" w:after="80"/>
        <w:ind w:left="567"/>
      </w:pPr>
      <w:r>
        <w:rPr>
          <w:rFonts w:ascii="Consolas" w:hAnsi="Consolas"/>
          <w:color w:val="505050"/>
          <w:sz w:val="18"/>
        </w:rPr>
        <w:t>aws --profile foundry --endpoint-url https://&lt;FOUNDRY_URL&gt;/io/s3 s3 ls s3://&lt;DATASET_RID&gt;</w:t>
      </w:r>
    </w:p>
    <w:p>
      <w:pPr>
        <w:spacing w:line="360" w:lineRule="auto" w:after="120"/>
      </w:pPr>
      <w:r>
        <w:rPr>
          <w:rFonts w:ascii="微软雅黑" w:hAnsi="微软雅黑"/>
          <w:sz w:val="21"/>
        </w:rPr>
        <w:t>这个命令使用 AWS CLI 列出指定数据集 RID 的 S3 存储桶内容。</w:t>
      </w:r>
    </w:p>
    <w:p>
      <w:pPr>
        <w:spacing w:line="360" w:lineRule="auto" w:after="120"/>
      </w:pPr>
      <w:r>
        <w:rPr>
          <w:rFonts w:ascii="微软雅黑" w:hAnsi="微软雅黑"/>
          <w:sz w:val="21"/>
        </w:rPr>
        <w:t>以下是命令中各个部分的说明：</w:t>
      </w:r>
    </w:p>
    <w:p>
      <w:pPr>
        <w:pStyle w:val="ListBullet"/>
        <w:spacing w:line="360" w:lineRule="auto" w:after="120"/>
      </w:pPr>
      <w:r>
        <w:rPr>
          <w:rFonts w:ascii="Consolas" w:hAnsi="Consolas"/>
          <w:color w:val="B43C3C"/>
          <w:sz w:val="18"/>
        </w:rPr>
        <w:t>aws --profile foundry</w:t>
      </w:r>
      <w:r>
        <w:rPr>
          <w:rFonts w:ascii="微软雅黑" w:hAnsi="微软雅黑"/>
          <w:sz w:val="21"/>
        </w:rPr>
        <w:t xml:space="preserve">: 使用名为 </w:t>
      </w:r>
      <w:r>
        <w:rPr>
          <w:rFonts w:ascii="Consolas" w:hAnsi="Consolas"/>
          <w:color w:val="B43C3C"/>
          <w:sz w:val="18"/>
        </w:rPr>
        <w:t>foundry</w:t>
      </w:r>
      <w:r>
        <w:rPr>
          <w:rFonts w:ascii="微软雅黑" w:hAnsi="微软雅黑"/>
          <w:sz w:val="21"/>
        </w:rPr>
        <w:t xml:space="preserve"> 的 AWS 配置文件。</w:t>
      </w:r>
    </w:p>
    <w:p>
      <w:pPr>
        <w:pStyle w:val="ListBullet"/>
        <w:spacing w:line="360" w:lineRule="auto" w:after="120"/>
      </w:pPr>
      <w:r>
        <w:rPr>
          <w:rFonts w:ascii="Consolas" w:hAnsi="Consolas"/>
          <w:color w:val="B43C3C"/>
          <w:sz w:val="18"/>
        </w:rPr>
        <w:t>--endpoint-url https://&lt;FOUNDRY_URL&gt;/io/s3</w:t>
      </w:r>
      <w:r>
        <w:rPr>
          <w:rFonts w:ascii="微软雅黑" w:hAnsi="微软雅黑"/>
          <w:sz w:val="21"/>
        </w:rPr>
        <w:t>: 指定 S3 服务的自定义端点 URL。</w:t>
      </w:r>
    </w:p>
    <w:p>
      <w:pPr>
        <w:pStyle w:val="ListBullet"/>
        <w:spacing w:line="360" w:lineRule="auto" w:after="120"/>
      </w:pPr>
      <w:r>
        <w:rPr>
          <w:rFonts w:ascii="Consolas" w:hAnsi="Consolas"/>
          <w:color w:val="B43C3C"/>
          <w:sz w:val="18"/>
        </w:rPr>
        <w:t>s3 ls s3://&lt;DATASET_RID&gt;</w:t>
      </w:r>
      <w:r>
        <w:rPr>
          <w:rFonts w:ascii="微软雅黑" w:hAnsi="微软雅黑"/>
          <w:sz w:val="21"/>
        </w:rPr>
        <w:t>: 列出 S3 存储桶中指定数据集 RID 下的对象。</w:t>
      </w:r>
    </w:p>
    <w:p>
      <w:pPr>
        <w:spacing w:line="360" w:lineRule="auto" w:after="120"/>
      </w:pPr>
      <w:r>
        <w:rPr>
          <w:rFonts w:ascii="微软雅黑" w:hAnsi="微软雅黑"/>
          <w:sz w:val="21"/>
        </w:rPr>
        <w:t xml:space="preserve">  根据 </w:t>
      </w:r>
      <w:r>
        <w:rPr>
          <w:rFonts w:ascii="微软雅黑" w:hAnsi="微软雅黑"/>
          <w:color w:val="0066CC"/>
          <w:sz w:val="21"/>
          <w:u w:val="single"/>
        </w:rPr>
        <w:t>最近发布的版本 ↗</w:t>
      </w:r>
      <w:r>
        <w:rPr>
          <w:rFonts w:ascii="微软雅黑" w:hAnsi="微软雅黑"/>
          <w:sz w:val="21"/>
        </w:rPr>
        <w:t xml:space="preserve"> 的AWS CLI，现在可以将 </w:t>
      </w:r>
      <w:r>
        <w:rPr>
          <w:rFonts w:ascii="Consolas" w:hAnsi="Consolas"/>
          <w:color w:val="B43C3C"/>
          <w:sz w:val="18"/>
        </w:rPr>
        <w:t>endpoint-url</w:t>
      </w:r>
      <w:r>
        <w:rPr>
          <w:rFonts w:ascii="微软雅黑" w:hAnsi="微软雅黑"/>
          <w:sz w:val="21"/>
        </w:rPr>
        <w:t xml:space="preserve"> 配置为 </w:t>
      </w:r>
      <w:r>
        <w:rPr>
          <w:rFonts w:ascii="Consolas" w:hAnsi="Consolas"/>
          <w:color w:val="B43C3C"/>
          <w:sz w:val="18"/>
        </w:rPr>
        <w:t>profile</w:t>
      </w:r>
      <w:r>
        <w:rPr>
          <w:rFonts w:ascii="微软雅黑" w:hAnsi="微软雅黑"/>
          <w:sz w:val="21"/>
        </w:rPr>
        <w:t xml:space="preserve"> 配置的一部分。如下所示，在 </w:t>
      </w:r>
      <w:r>
        <w:rPr>
          <w:rFonts w:ascii="Consolas" w:hAnsi="Consolas"/>
          <w:color w:val="B43C3C"/>
          <w:sz w:val="18"/>
        </w:rPr>
        <w:t>~/.aws/config</w:t>
      </w:r>
      <w:r>
        <w:rPr>
          <w:rFonts w:ascii="微软雅黑" w:hAnsi="微软雅黑"/>
          <w:sz w:val="21"/>
        </w:rPr>
        <w:t xml:space="preserve"> 中配置的一个 </w:t>
      </w:r>
      <w:r>
        <w:rPr>
          <w:rFonts w:ascii="Consolas" w:hAnsi="Consolas"/>
          <w:color w:val="B43C3C"/>
          <w:sz w:val="18"/>
        </w:rPr>
        <w:t>foundry</w:t>
      </w:r>
      <w:r>
        <w:rPr>
          <w:rFonts w:ascii="微软雅黑" w:hAnsi="微软雅黑"/>
          <w:sz w:val="21"/>
        </w:rPr>
        <w:t xml:space="preserve"> 配置文件示例。当配置具有 </w:t>
      </w:r>
      <w:r>
        <w:rPr>
          <w:rFonts w:ascii="Consolas" w:hAnsi="Consolas"/>
          <w:color w:val="B43C3C"/>
          <w:sz w:val="18"/>
        </w:rPr>
        <w:t>endpoint_url</w:t>
      </w:r>
      <w:r>
        <w:rPr>
          <w:rFonts w:ascii="微软雅黑" w:hAnsi="微软雅黑"/>
          <w:sz w:val="21"/>
        </w:rPr>
        <w:t xml:space="preserve"> 属性的配置文件时，使用 </w:t>
      </w:r>
      <w:r>
        <w:rPr>
          <w:rFonts w:ascii="Consolas" w:hAnsi="Consolas"/>
          <w:color w:val="B43C3C"/>
          <w:sz w:val="18"/>
        </w:rPr>
        <w:t>aws</w:t>
      </w:r>
      <w:r>
        <w:rPr>
          <w:rFonts w:ascii="微软雅黑" w:hAnsi="微软雅黑"/>
          <w:sz w:val="21"/>
        </w:rPr>
        <w:t xml:space="preserve"> 命令时不再需要包含 </w:t>
      </w:r>
      <w:r>
        <w:rPr>
          <w:rFonts w:ascii="Consolas" w:hAnsi="Consolas"/>
          <w:color w:val="B43C3C"/>
          <w:sz w:val="18"/>
        </w:rPr>
        <w:t>--endpoint-url</w:t>
      </w:r>
      <w:r>
        <w:rPr>
          <w:rFonts w:ascii="微软雅黑" w:hAnsi="微软雅黑"/>
          <w:sz w:val="21"/>
        </w:rPr>
        <w:t xml:space="preserve"> 参数。只需要 </w:t>
      </w:r>
      <w:r>
        <w:rPr>
          <w:rFonts w:ascii="Consolas" w:hAnsi="Consolas"/>
          <w:color w:val="B43C3C"/>
          <w:sz w:val="18"/>
        </w:rPr>
        <w:t>--profile</w:t>
      </w:r>
      <w:r>
        <w:rPr>
          <w:rFonts w:ascii="微软雅黑" w:hAnsi="微软雅黑"/>
          <w:sz w:val="21"/>
        </w:rPr>
        <w:t xml:space="preserve"> 即可。</w:t>
      </w:r>
    </w:p>
    <w:p>
      <w:pPr>
        <w:spacing w:before="80" w:after="80"/>
        <w:ind w:left="567"/>
      </w:pPr>
      <w:r>
        <w:rPr>
          <w:rFonts w:ascii="Consolas" w:hAnsi="Consolas"/>
          <w:color w:val="505050"/>
          <w:sz w:val="18"/>
        </w:rPr>
        <w:t>[profile foundry]</w:t>
        <w:br/>
        <w:t>region = foundry  # 指定区域名称为foundry</w:t>
        <w:br/>
        <w:t>endpoint_url = https://&lt;FOUNDRY_URL&gt;/io/s3  # 指定S3服务的端点URL</w:t>
      </w:r>
    </w:p>
    <w:p>
      <w:pPr>
        <w:spacing w:line="360" w:lineRule="auto" w:after="120"/>
      </w:pPr>
      <w:r>
        <w:rPr>
          <w:rFonts w:ascii="微软雅黑" w:hAnsi="微软雅黑"/>
          <w:sz w:val="21"/>
        </w:rPr>
        <w:t xml:space="preserve">要在 AWS CLI 中使用 </w:t>
      </w:r>
      <w:r>
        <w:rPr>
          <w:rFonts w:ascii="微软雅黑" w:hAnsi="微软雅黑"/>
          <w:color w:val="0066CC"/>
          <w:sz w:val="21"/>
          <w:u w:val="single"/>
        </w:rPr>
        <w:t>临时凭证</w:t>
      </w:r>
      <w:r>
        <w:rPr>
          <w:rFonts w:ascii="微软雅黑" w:hAnsi="微软雅黑"/>
          <w:sz w:val="21"/>
        </w:rPr>
        <w:t xml:space="preserve">，请参阅 </w:t>
      </w:r>
      <w:r>
        <w:rPr>
          <w:rFonts w:ascii="微软雅黑" w:hAnsi="微软雅黑"/>
          <w:color w:val="0066CC"/>
          <w:sz w:val="21"/>
          <w:u w:val="single"/>
        </w:rPr>
        <w:t>AWS 文档 ↗</w:t>
      </w:r>
      <w:r>
        <w:rPr>
          <w:rFonts w:ascii="微软雅黑" w:hAnsi="微软雅黑"/>
          <w:sz w:val="21"/>
        </w:rPr>
        <w:t xml:space="preserve">，该文档解释了如何配置 CLI 以为您进行 AWS STS </w:t>
      </w:r>
      <w:r>
        <w:rPr>
          <w:rFonts w:ascii="Consolas" w:hAnsi="Consolas"/>
          <w:color w:val="B43C3C"/>
          <w:sz w:val="18"/>
        </w:rPr>
        <w:t>AssumeRoleWithWebIdentity</w:t>
      </w:r>
      <w:r>
        <w:rPr>
          <w:rFonts w:ascii="微软雅黑" w:hAnsi="微软雅黑"/>
          <w:sz w:val="21"/>
        </w:rPr>
        <w:t xml:space="preserve"> 调用。下面展示了一个在 </w:t>
      </w:r>
      <w:r>
        <w:rPr>
          <w:rFonts w:ascii="Consolas" w:hAnsi="Consolas"/>
          <w:color w:val="B43C3C"/>
          <w:sz w:val="18"/>
        </w:rPr>
        <w:t>~/.aws/config</w:t>
      </w:r>
      <w:r>
        <w:rPr>
          <w:rFonts w:ascii="微软雅黑" w:hAnsi="微软雅黑"/>
          <w:sz w:val="21"/>
        </w:rPr>
        <w:t xml:space="preserve"> 中配置的 </w:t>
      </w:r>
      <w:r>
        <w:rPr>
          <w:rFonts w:ascii="Consolas" w:hAnsi="Consolas"/>
          <w:color w:val="B43C3C"/>
          <w:sz w:val="18"/>
        </w:rPr>
        <w:t>foundry</w:t>
      </w:r>
      <w:r>
        <w:rPr>
          <w:rFonts w:ascii="微软雅黑" w:hAnsi="微软雅黑"/>
          <w:sz w:val="21"/>
        </w:rPr>
        <w:t xml:space="preserve"> 配置文件示例。使用此配置时，您无需在环境变量（</w:t>
      </w:r>
      <w:r>
        <w:rPr>
          <w:rFonts w:ascii="Consolas" w:hAnsi="Consolas"/>
          <w:color w:val="B43C3C"/>
          <w:sz w:val="18"/>
        </w:rPr>
        <w:t>AWS_ACCESS_KEY_ID</w:t>
      </w:r>
      <w:r>
        <w:rPr>
          <w:rFonts w:ascii="微软雅黑" w:hAnsi="微软雅黑"/>
          <w:sz w:val="21"/>
        </w:rPr>
        <w:t>、</w:t>
      </w:r>
      <w:r>
        <w:rPr>
          <w:rFonts w:ascii="Consolas" w:hAnsi="Consolas"/>
          <w:color w:val="B43C3C"/>
          <w:sz w:val="18"/>
        </w:rPr>
        <w:t>AWS_SECRET_ACCESS_KEY</w:t>
      </w:r>
      <w:r>
        <w:rPr>
          <w:rFonts w:ascii="微软雅黑" w:hAnsi="微软雅黑"/>
          <w:sz w:val="21"/>
        </w:rPr>
        <w:t>、</w:t>
      </w:r>
      <w:r>
        <w:rPr>
          <w:rFonts w:ascii="Consolas" w:hAnsi="Consolas"/>
          <w:color w:val="B43C3C"/>
          <w:sz w:val="18"/>
        </w:rPr>
        <w:t>AWS_SESSION_TOKEN</w:t>
      </w:r>
      <w:r>
        <w:rPr>
          <w:rFonts w:ascii="微软雅黑" w:hAnsi="微软雅黑"/>
          <w:sz w:val="21"/>
        </w:rPr>
        <w:t xml:space="preserve">）或 </w:t>
      </w:r>
      <w:r>
        <w:rPr>
          <w:rFonts w:ascii="Consolas" w:hAnsi="Consolas"/>
          <w:color w:val="B43C3C"/>
          <w:sz w:val="18"/>
        </w:rPr>
        <w:t>~/.aws/credentials</w:t>
      </w:r>
      <w:r>
        <w:rPr>
          <w:rFonts w:ascii="微软雅黑" w:hAnsi="微软雅黑"/>
          <w:sz w:val="21"/>
        </w:rPr>
        <w:t xml:space="preserve"> 中配置凭证。</w:t>
      </w:r>
    </w:p>
    <w:p>
      <w:pPr>
        <w:spacing w:before="80" w:after="80"/>
        <w:ind w:left="567"/>
      </w:pPr>
      <w:r>
        <w:rPr>
          <w:rFonts w:ascii="Consolas" w:hAnsi="Consolas"/>
          <w:color w:val="505050"/>
          <w:sz w:val="18"/>
        </w:rPr>
        <w:t>[profile foundry]</w:t>
        <w:br/>
        <w:t>region = foundry  # 区域设置为 foundry</w:t>
        <w:br/>
        <w:t>endpoint_url = https://&lt;FOUNDRY_URL&gt;/io/s3  # 端点 URL，替换 &lt;FOUNDRY_URL&gt; 为实际的 URL</w:t>
        <w:br/>
        <w:t>web_identity_token_file = ~/.foundry/web-identity.token  # Web 身份令牌文件路径</w:t>
        <w:br/>
        <w:t>role_arn=xxxxxxxxxxxxxxxxxxxx  # 角色 ARN，替换为实际的 ARN</w:t>
      </w:r>
    </w:p>
    <w:p>
      <w:pPr>
        <w:spacing w:line="360" w:lineRule="auto" w:after="120"/>
      </w:pPr>
      <w:r>
        <w:rPr>
          <w:rFonts w:ascii="微软雅黑" w:hAnsi="微软雅黑"/>
          <w:sz w:val="21"/>
        </w:rPr>
        <w:t xml:space="preserve">上述示例假定在 </w:t>
      </w:r>
      <w:r>
        <w:rPr>
          <w:rFonts w:ascii="Consolas" w:hAnsi="Consolas"/>
          <w:color w:val="B43C3C"/>
          <w:sz w:val="18"/>
        </w:rPr>
        <w:t>~/.foundry/web-identity.token</w:t>
      </w:r>
      <w:r>
        <w:rPr>
          <w:rFonts w:ascii="微软雅黑" w:hAnsi="微软雅黑"/>
          <w:sz w:val="21"/>
        </w:rPr>
        <w:t xml:space="preserve"> 文件中存储了一个有效的 Foundry 词元。只有在确保该文件安全且没有泄漏风险的情况下，我们才推荐这种方法。</w:t>
      </w:r>
      <w:r>
        <w:rPr>
          <w:rFonts w:ascii="Consolas" w:hAnsi="Consolas"/>
          <w:color w:val="B43C3C"/>
          <w:sz w:val="18"/>
        </w:rPr>
        <w:t>role_arn</w:t>
      </w:r>
      <w:r>
        <w:rPr>
          <w:rFonts w:ascii="微软雅黑" w:hAnsi="微软雅黑"/>
          <w:sz w:val="21"/>
        </w:rPr>
        <w:t xml:space="preserve"> 属性虽然不被用于在，但仍必须提供，并且由于 AWS CLI 的验证要求，长度至少为20个字符。我们在示例中使用 </w:t>
      </w:r>
      <w:r>
        <w:rPr>
          <w:rFonts w:ascii="Consolas" w:hAnsi="Consolas"/>
          <w:color w:val="B43C3C"/>
          <w:sz w:val="18"/>
        </w:rPr>
        <w:t>xxxxxxxxxxxxxxxxxxxx</w:t>
      </w:r>
      <w:r>
        <w:rPr>
          <w:rFonts w:ascii="微软雅黑" w:hAnsi="微软雅黑"/>
          <w:sz w:val="21"/>
        </w:rPr>
        <w:t xml:space="preserve"> 作为占位符。要使用此配置，您必须在 </w:t>
      </w:r>
      <w:r>
        <w:rPr>
          <w:rFonts w:ascii="Consolas" w:hAnsi="Consolas"/>
          <w:color w:val="B43C3C"/>
          <w:sz w:val="18"/>
        </w:rPr>
        <w:t>~/.aws/config</w:t>
      </w:r>
      <w:r>
        <w:rPr>
          <w:rFonts w:ascii="微软雅黑" w:hAnsi="微软雅黑"/>
          <w:sz w:val="21"/>
        </w:rPr>
        <w:t xml:space="preserve"> 中配置 </w:t>
      </w:r>
      <w:r>
        <w:rPr>
          <w:rFonts w:ascii="Consolas" w:hAnsi="Consolas"/>
          <w:color w:val="B43C3C"/>
          <w:sz w:val="18"/>
        </w:rPr>
        <w:t>endpoint_url</w:t>
      </w:r>
      <w:r>
        <w:rPr>
          <w:rFonts w:ascii="微软雅黑" w:hAnsi="微软雅黑"/>
          <w:sz w:val="21"/>
        </w:rPr>
        <w:t xml:space="preserve">，而不是使用 </w:t>
      </w:r>
      <w:r>
        <w:rPr>
          <w:rFonts w:ascii="Consolas" w:hAnsi="Consolas"/>
          <w:color w:val="B43C3C"/>
          <w:sz w:val="18"/>
        </w:rPr>
        <w:t>--endpoint-url</w:t>
      </w:r>
      <w:r>
        <w:rPr>
          <w:rFonts w:ascii="微软雅黑" w:hAnsi="微软雅黑"/>
          <w:sz w:val="21"/>
        </w:rPr>
        <w:t>，如上所述。</w:t>
      </w:r>
    </w:p>
    <w:p>
      <w:pPr>
        <w:pStyle w:val="Heading3"/>
      </w:pPr>
      <w:r>
        <w:rPr>
          <w:rFonts w:ascii="微软雅黑" w:hAnsi="微软雅黑"/>
        </w:rPr>
        <w:t>AWS SDK 以 Python (Boto3)</w:t>
      </w:r>
    </w:p>
    <w:p>
      <w:pPr>
        <w:spacing w:before="80" w:after="80"/>
        <w:ind w:left="567"/>
      </w:pPr>
      <w:r>
        <w:rPr>
          <w:rFonts w:ascii="Consolas" w:hAnsi="Consolas"/>
          <w:color w:val="505050"/>
          <w:sz w:val="18"/>
        </w:rPr>
        <w:t>import boto3</w:t>
        <w:br/>
        <w:t>import pandas as pd</w:t>
        <w:br/>
        <w:t># 创建一个S3客户端</w:t>
        <w:br/>
        <w:t>s3 = boto3.client(</w:t>
        <w:br/>
        <w:t xml:space="preserve">    's3',</w:t>
        <w:br/>
        <w:t xml:space="preserve">    aws_access_key_id="&lt;ACCESS_KEY_ID&gt;",  # 替换为您的AWS访问密钥ID</w:t>
        <w:br/>
        <w:t xml:space="preserve">    aws_secret_access_key="&lt;SECRET_ACCESS_KEY&gt;",  # 替换为您的AWS秘密访问密钥</w:t>
        <w:br/>
        <w:t xml:space="preserve">    # session_token="&lt;SESSION_TOKEN&gt;", 仅当使用临时凭证时需要</w:t>
        <w:br/>
        <w:t xml:space="preserve">    endpoint_url="https://&lt;FOUNDRY_URL&gt;/io/s3",  # 设置Foundry的S3端点URL</w:t>
        <w:br/>
        <w:t xml:space="preserve">    region_name="foundry"  # 指定区域名称为Foundry</w:t>
        <w:br/>
        <w:t>)</w:t>
        <w:br/>
        <w:t>bucket = 'ri.foundry.main.dataset.&lt;uuid&gt;'  # 指定S3桶名称</w:t>
        <w:br/>
        <w:t>key = 'iris.csv'  # 指定文件的S3键</w:t>
        <w:br/>
        <w:t># 从S3获取对象</w:t>
        <w:br/>
        <w:t>obj = s3.get_object(Bucket=bucket, Key=key)</w:t>
        <w:br/>
        <w:t># 使用pandas读取CSV文件</w:t>
        <w:br/>
        <w:t>df = pd.read_csv(obj['Body'])</w:t>
        <w:br/>
        <w:t># 打印数据帧内容</w:t>
        <w:br/>
        <w:t>print(df)</w:t>
      </w:r>
    </w:p>
    <w:p>
      <w:pPr>
        <w:spacing w:line="360" w:lineRule="auto" w:after="120"/>
      </w:pPr>
      <w:r>
        <w:rPr>
          <w:rFonts w:ascii="微软雅黑" w:hAnsi="微软雅黑"/>
          <w:sz w:val="21"/>
        </w:rPr>
        <w:t xml:space="preserve">查看 </w:t>
      </w:r>
      <w:r>
        <w:rPr>
          <w:rFonts w:ascii="微软雅黑" w:hAnsi="微软雅黑"/>
          <w:color w:val="0066CC"/>
          <w:sz w:val="21"/>
          <w:u w:val="single"/>
        </w:rPr>
        <w:t>Boto3 文档的 S3 部分 ↗</w:t>
      </w:r>
      <w:r>
        <w:rPr>
          <w:rFonts w:ascii="微软雅黑" w:hAnsi="微软雅黑"/>
          <w:sz w:val="21"/>
        </w:rPr>
        <w:t>，以获取有关使用 Boto3 连接到 S3 兼容源的更多信息。</w:t>
      </w:r>
    </w:p>
    <w:p>
      <w:pPr>
        <w:pStyle w:val="Heading3"/>
      </w:pPr>
      <w:r>
        <w:rPr>
          <w:rFonts w:ascii="微软雅黑" w:hAnsi="微软雅黑"/>
        </w:rPr>
        <w:t>Spark</w:t>
      </w:r>
    </w:p>
    <w:p>
      <w:pPr>
        <w:spacing w:before="80" w:after="80"/>
        <w:ind w:left="567"/>
      </w:pPr>
      <w:r>
        <w:rPr>
          <w:rFonts w:ascii="Consolas" w:hAnsi="Consolas"/>
          <w:color w:val="505050"/>
          <w:sz w:val="18"/>
        </w:rPr>
        <w:t>from pyspark.sql import SparkSession</w:t>
        <w:br/>
        <w:t>hostname = "https://&lt;FOUNDRY_URL&gt;/io/s3"</w:t>
        <w:br/>
        <w:t>access_key_id = "&lt;ACCESS_KEY_ID&gt;"</w:t>
        <w:br/>
        <w:t>secret_access_key = "&lt;SECRET_ACCESS_KEY&gt;"</w:t>
        <w:br/>
        <w:t># 确保数据集的RID可以被解析为一个有效的主机名</w:t>
        <w:br/>
        <w:t>dataset_rid = "ri.foundry.main.dataset.&lt;uuid&gt;".replace('.', '-')</w:t>
        <w:br/>
        <w:t>spark_session = (</w:t>
        <w:br/>
        <w:t xml:space="preserve">    SparkSession.builder</w:t>
        <w:br/>
        <w:t xml:space="preserve">        .config("fs.s3a.access.key", access_key_id)  # 配置S3访问密钥ID</w:t>
        <w:br/>
        <w:t xml:space="preserve">        .config("fs.s3a.secret.key", secret_access_key)  # 配置S3密钥</w:t>
        <w:br/>
        <w:t xml:space="preserve">        # .config("fs.s3a.session.token", session_token) 仅在使用临时凭证时需要</w:t>
        <w:br/>
        <w:t xml:space="preserve">        .config("fs.s3a.endpoint", hostname)  # 配置S3终端点URL</w:t>
        <w:br/>
        <w:t xml:space="preserve">        .config("fs.s3a.endpoint.region", "foundry")  # 配置S3终端点区域</w:t>
        <w:br/>
        <w:t xml:space="preserve">        .config("fs.s3a.path.style.access", "true")  # 配置S3路径风格访问</w:t>
        <w:br/>
        <w:t xml:space="preserve">        .getOrCreate()</w:t>
        <w:br/>
        <w:t>)</w:t>
        <w:br/>
        <w:t># 读取Parquet格式的数据集</w:t>
        <w:br/>
        <w:t>df = spark_session.read.parquet(f"s3a://{dataset_rid}/*")</w:t>
        <w:br/>
        <w:t>df.show()  # 显示数据集的内容</w:t>
      </w:r>
    </w:p>
    <w:p>
      <w:pPr>
        <w:spacing w:line="360" w:lineRule="auto" w:after="120"/>
      </w:pPr>
      <w:r>
        <w:rPr>
          <w:rFonts w:ascii="微软雅黑" w:hAnsi="微软雅黑"/>
          <w:sz w:val="21"/>
        </w:rPr>
        <w:t xml:space="preserve">查看 </w:t>
      </w:r>
      <w:r>
        <w:rPr>
          <w:rFonts w:ascii="微软雅黑" w:hAnsi="微软雅黑"/>
          <w:color w:val="0066CC"/>
          <w:sz w:val="21"/>
          <w:u w:val="single"/>
        </w:rPr>
        <w:t>Spark 文档 ↗</w:t>
      </w:r>
      <w:r>
        <w:rPr>
          <w:rFonts w:ascii="微软雅黑" w:hAnsi="微软雅黑"/>
          <w:sz w:val="21"/>
        </w:rPr>
        <w:t xml:space="preserve"> 以获取更多关于将 Spark 与 S3 结合使用的信息。</w:t>
      </w:r>
    </w:p>
    <w:p>
      <w:pPr>
        <w:spacing w:line="360" w:lineRule="auto" w:after="120"/>
      </w:pPr>
      <w:r>
        <w:rPr>
          <w:rFonts w:ascii="微软雅黑" w:hAnsi="微软雅黑"/>
          <w:sz w:val="21"/>
        </w:rPr>
        <w:t>使用带有包含'.'的桶名称的 Hadoop AWS 客户端存在已知问题。您可能会遇到类似 *"bucket is null/empty"* 的错误消息。如果出现这种情况，数据集 RID 无法解析为有效的主机名。作为一种变通方法，您可以将数据集 RID 中的 '.' 替换为 '-'。</w:t>
      </w:r>
    </w:p>
    <w:p>
      <w:pPr>
        <w:pStyle w:val="Heading3"/>
      </w:pPr>
      <w:r>
        <w:rPr>
          <w:rFonts w:ascii="微软雅黑" w:hAnsi="微软雅黑"/>
        </w:rPr>
        <w:t>Cyberduck</w:t>
      </w:r>
    </w:p>
    <w:p>
      <w:pPr>
        <w:pStyle w:val="ListNumber"/>
        <w:spacing w:line="360" w:lineRule="auto" w:after="120"/>
      </w:pPr>
      <w:r>
        <w:rPr>
          <w:rFonts w:ascii="微软雅黑" w:hAnsi="微软雅黑"/>
          <w:sz w:val="21"/>
        </w:rPr>
        <w:t>下载以下配置文件：</w:t>
      </w:r>
      <w:r>
        <w:rPr>
          <w:rFonts w:ascii="微软雅黑" w:hAnsi="微软雅黑"/>
          <w:color w:val="0066CC"/>
          <w:sz w:val="21"/>
          <w:u w:val="single"/>
        </w:rPr>
        <w:t>Foundry S3.cyberduckprofile ↗</w:t>
      </w:r>
    </w:p>
    <w:p>
      <w:pPr>
        <w:pStyle w:val="ListNumber"/>
        <w:spacing w:line="360" w:lineRule="auto" w:after="120"/>
      </w:pPr>
      <w:r>
        <w:rPr>
          <w:rFonts w:ascii="微软雅黑" w:hAnsi="微软雅黑"/>
          <w:sz w:val="21"/>
        </w:rPr>
        <w:t>双击配置文件以在 Cyberduck 中打开并注册该配置文件。</w:t>
      </w:r>
    </w:p>
    <w:p>
      <w:pPr>
        <w:pStyle w:val="ListNumber"/>
        <w:spacing w:line="360" w:lineRule="auto" w:after="120"/>
      </w:pPr>
      <w:r>
        <w:rPr>
          <w:rFonts w:ascii="微软雅黑" w:hAnsi="微软雅黑"/>
          <w:sz w:val="21"/>
        </w:rPr>
        <w:t>在 Cyberduck 为您创建的默认书签上设置以下连接属性：</w:t>
      </w:r>
    </w:p>
    <w:p>
      <w:pPr>
        <w:pStyle w:val="ListBullet"/>
        <w:spacing w:line="360" w:lineRule="auto" w:after="120"/>
      </w:pPr>
      <w:r>
        <w:rPr>
          <w:rFonts w:ascii="微软雅黑" w:hAnsi="微软雅黑"/>
          <w:b/>
          <w:sz w:val="21"/>
        </w:rPr>
        <w:t>Server:</w:t>
      </w:r>
      <w:r>
        <w:rPr>
          <w:rFonts w:ascii="微软雅黑" w:hAnsi="微软雅黑"/>
          <w:sz w:val="21"/>
        </w:rPr>
        <w:t xml:space="preserve"> </w:t>
      </w:r>
      <w:r>
        <w:rPr>
          <w:rFonts w:ascii="Consolas" w:hAnsi="Consolas"/>
          <w:color w:val="B43C3C"/>
          <w:sz w:val="18"/>
        </w:rPr>
        <w:t>https://&lt;FOUNDRY_URL&gt;</w:t>
      </w:r>
    </w:p>
    <w:p>
      <w:pPr>
        <w:pStyle w:val="ListBullet"/>
        <w:spacing w:line="360" w:lineRule="auto" w:after="120"/>
      </w:pPr>
      <w:r>
        <w:rPr>
          <w:rFonts w:ascii="微软雅黑" w:hAnsi="微软雅黑"/>
          <w:b/>
          <w:sz w:val="21"/>
        </w:rPr>
        <w:t>Access Key ID:</w:t>
      </w:r>
      <w:r>
        <w:rPr>
          <w:rFonts w:ascii="微软雅黑" w:hAnsi="微软雅黑"/>
          <w:sz w:val="21"/>
        </w:rPr>
        <w:t xml:space="preserve"> </w:t>
      </w:r>
      <w:r>
        <w:rPr>
          <w:rFonts w:ascii="Consolas" w:hAnsi="Consolas"/>
          <w:color w:val="B43C3C"/>
          <w:sz w:val="18"/>
        </w:rPr>
        <w:t>&lt;ACCESS_KEY_ID&gt;</w:t>
      </w:r>
    </w:p>
    <w:p>
      <w:pPr>
        <w:pStyle w:val="ListBullet"/>
        <w:spacing w:line="360" w:lineRule="auto" w:after="120"/>
      </w:pPr>
      <w:r>
        <w:rPr>
          <w:rFonts w:ascii="微软雅黑" w:hAnsi="微软雅黑"/>
          <w:b/>
          <w:sz w:val="21"/>
        </w:rPr>
        <w:t>Secret Access Key:</w:t>
      </w:r>
      <w:r>
        <w:rPr>
          <w:rFonts w:ascii="微软雅黑" w:hAnsi="微软雅黑"/>
          <w:sz w:val="21"/>
        </w:rPr>
        <w:t xml:space="preserve"> </w:t>
      </w:r>
      <w:r>
        <w:rPr>
          <w:rFonts w:ascii="Consolas" w:hAnsi="Consolas"/>
          <w:color w:val="B43C3C"/>
          <w:sz w:val="18"/>
        </w:rPr>
        <w:t>&lt;SECRET_ACCESS_KEY&gt;</w:t>
      </w:r>
    </w:p>
    <w:p>
      <w:pPr>
        <w:pStyle w:val="ListBullet"/>
        <w:spacing w:line="360" w:lineRule="auto" w:after="120"/>
      </w:pPr>
      <w:r>
        <w:rPr>
          <w:rFonts w:ascii="微软雅黑" w:hAnsi="微软雅黑"/>
          <w:b/>
          <w:sz w:val="21"/>
        </w:rPr>
        <w:t>Path:</w:t>
      </w:r>
      <w:r>
        <w:rPr>
          <w:rFonts w:ascii="微软雅黑" w:hAnsi="微软雅黑"/>
          <w:sz w:val="21"/>
        </w:rPr>
        <w:t xml:space="preserve"> (在 </w:t>
      </w:r>
      <w:r>
        <w:rPr>
          <w:rFonts w:ascii="微软雅黑" w:hAnsi="微软雅黑"/>
          <w:b/>
          <w:sz w:val="21"/>
        </w:rPr>
        <w:t>More Options</w:t>
      </w:r>
      <w:r>
        <w:rPr>
          <w:rFonts w:ascii="微软雅黑" w:hAnsi="微软雅黑"/>
          <w:sz w:val="21"/>
        </w:rPr>
        <w:t xml:space="preserve"> 下) </w:t>
      </w:r>
      <w:r>
        <w:rPr>
          <w:rFonts w:ascii="Consolas" w:hAnsi="Consolas"/>
          <w:color w:val="B43C3C"/>
          <w:sz w:val="18"/>
        </w:rPr>
        <w:t>ri.foundry.main.dataset.&lt;uuid&gt;</w:t>
      </w:r>
    </w:p>
    <w:p>
      <w:pPr>
        <w:pStyle w:val="ListNumber"/>
        <w:spacing w:line="360" w:lineRule="auto" w:after="120"/>
      </w:pPr>
      <w:r>
        <w:rPr>
          <w:rFonts w:ascii="微软雅黑" w:hAnsi="微软雅黑"/>
          <w:sz w:val="21"/>
        </w:rPr>
        <w:t>关闭书签设置窗口。</w:t>
      </w:r>
    </w:p>
    <w:p>
      <w:pPr>
        <w:pStyle w:val="ListNumber"/>
        <w:spacing w:line="360" w:lineRule="auto" w:after="120"/>
      </w:pPr>
      <w:r>
        <w:rPr>
          <w:rFonts w:ascii="微软雅黑" w:hAnsi="微软雅黑"/>
          <w:sz w:val="21"/>
        </w:rPr>
        <w:t>双击书签以打开连接。</w:t>
      </w:r>
    </w:p>
    <w:p>
      <w:pPr>
        <w:spacing w:line="360" w:lineRule="auto" w:after="120"/>
      </w:pPr>
      <w:r>
        <w:rPr>
          <w:rFonts w:ascii="微软雅黑" w:hAnsi="微软雅黑"/>
          <w:sz w:val="21"/>
        </w:rPr>
        <w:t xml:space="preserve">查看 </w:t>
      </w:r>
      <w:r>
        <w:rPr>
          <w:rFonts w:ascii="微软雅黑" w:hAnsi="微软雅黑"/>
          <w:color w:val="0066CC"/>
          <w:sz w:val="21"/>
          <w:u w:val="single"/>
        </w:rPr>
        <w:t>Cyberduck 文档 ↗</w:t>
      </w:r>
      <w:r>
        <w:rPr>
          <w:rFonts w:ascii="微软雅黑" w:hAnsi="微软雅黑"/>
          <w:sz w:val="21"/>
        </w:rPr>
        <w:t xml:space="preserve"> 以获取更多关于连接到 S3 兼容源的信息。</w:t>
      </w:r>
    </w:p>
    <w:p>
      <w:pPr>
        <w:pStyle w:val="Heading3"/>
      </w:pPr>
      <w:r>
        <w:rPr>
          <w:rFonts w:ascii="微软雅黑" w:hAnsi="微软雅黑"/>
        </w:rPr>
        <w:t>Google 存储传输服务</w:t>
      </w:r>
    </w:p>
    <w:p>
      <w:pPr>
        <w:spacing w:line="360" w:lineRule="auto" w:after="120"/>
      </w:pPr>
      <w:r>
        <w:rPr>
          <w:rFonts w:ascii="微软雅黑" w:hAnsi="微软雅黑"/>
          <w:sz w:val="21"/>
        </w:rPr>
        <w:t xml:space="preserve">Google Cloud 的 </w:t>
      </w:r>
      <w:r>
        <w:rPr>
          <w:rFonts w:ascii="微软雅黑" w:hAnsi="微软雅黑"/>
          <w:color w:val="0066CC"/>
          <w:sz w:val="21"/>
          <w:u w:val="single"/>
        </w:rPr>
        <w:t>存储传输服务 ↗</w:t>
      </w:r>
      <w:r>
        <w:rPr>
          <w:rFonts w:ascii="微软雅黑" w:hAnsi="微软雅黑"/>
          <w:sz w:val="21"/>
        </w:rPr>
        <w:t xml:space="preserve"> 可以将 Foundry 视为 </w:t>
      </w:r>
      <w:r>
        <w:rPr>
          <w:rFonts w:ascii="微软雅黑" w:hAnsi="微软雅黑"/>
          <w:color w:val="0066CC"/>
          <w:sz w:val="21"/>
          <w:u w:val="single"/>
        </w:rPr>
        <w:t>S3 兼容源 ↗</w:t>
      </w:r>
      <w:r>
        <w:rPr>
          <w:rFonts w:ascii="微软雅黑" w:hAnsi="微软雅黑"/>
          <w:sz w:val="21"/>
        </w:rPr>
        <w:t>。您可以通过以下步骤将数据从 Foundry 数据集传输到 Cloud Storage 桶中。</w:t>
      </w:r>
    </w:p>
    <w:p>
      <w:pPr>
        <w:pStyle w:val="ListNumber"/>
        <w:spacing w:line="360" w:lineRule="auto" w:after="120"/>
      </w:pPr>
      <w:r>
        <w:rPr>
          <w:rFonts w:ascii="微软雅黑" w:hAnsi="微软雅黑"/>
          <w:sz w:val="21"/>
        </w:rPr>
        <w:t xml:space="preserve">按照 </w:t>
      </w:r>
      <w:r>
        <w:rPr>
          <w:rFonts w:ascii="微软雅黑" w:hAnsi="微软雅黑"/>
          <w:color w:val="0066CC"/>
          <w:sz w:val="21"/>
          <w:u w:val="single"/>
        </w:rPr>
        <w:t>Google Cloud 的说明 ↗</w:t>
      </w:r>
      <w:r>
        <w:rPr>
          <w:rFonts w:ascii="微软雅黑" w:hAnsi="微软雅黑"/>
          <w:sz w:val="21"/>
        </w:rPr>
        <w:t xml:space="preserve"> 设置代理池和传输代理。</w:t>
      </w:r>
    </w:p>
    <w:p>
      <w:pPr>
        <w:pStyle w:val="ListNumber"/>
        <w:spacing w:line="360" w:lineRule="auto" w:after="120"/>
      </w:pPr>
      <w:r>
        <w:rPr>
          <w:rFonts w:ascii="微软雅黑" w:hAnsi="微软雅黑"/>
          <w:sz w:val="21"/>
        </w:rPr>
        <w:t xml:space="preserve">创建一个传输任务，并选择 </w:t>
      </w:r>
      <w:r>
        <w:rPr>
          <w:rFonts w:ascii="微软雅黑" w:hAnsi="微软雅黑"/>
          <w:b/>
          <w:sz w:val="21"/>
        </w:rPr>
        <w:t>S3-compatible object storage</w:t>
      </w:r>
      <w:r>
        <w:rPr>
          <w:rFonts w:ascii="微软雅黑" w:hAnsi="微软雅黑"/>
          <w:sz w:val="21"/>
        </w:rPr>
        <w:t xml:space="preserve"> 作为 </w:t>
      </w:r>
      <w:r>
        <w:rPr>
          <w:rFonts w:ascii="微软雅黑" w:hAnsi="微软雅黑"/>
          <w:b/>
          <w:sz w:val="21"/>
        </w:rPr>
        <w:t>Source type</w:t>
      </w:r>
      <w:r>
        <w:rPr>
          <w:rFonts w:ascii="微软雅黑" w:hAnsi="微软雅黑"/>
          <w:sz w:val="21"/>
        </w:rPr>
        <w:t>。然后选择您在步骤 (1) 中创建的代理池，并确保设置以下配置：</w:t>
      </w:r>
    </w:p>
    <w:p>
      <w:pPr>
        <w:pStyle w:val="ListBullet"/>
        <w:spacing w:line="360" w:lineRule="auto" w:after="120"/>
      </w:pPr>
      <w:r>
        <w:rPr>
          <w:rFonts w:ascii="微软雅黑" w:hAnsi="微软雅黑"/>
          <w:b/>
          <w:sz w:val="21"/>
        </w:rPr>
        <w:t>Bucket</w:t>
      </w:r>
      <w:r>
        <w:rPr>
          <w:rFonts w:ascii="微软雅黑" w:hAnsi="微软雅黑"/>
          <w:sz w:val="21"/>
        </w:rPr>
        <w:t xml:space="preserve">: </w:t>
      </w:r>
      <w:r>
        <w:rPr>
          <w:rFonts w:ascii="Consolas" w:hAnsi="Consolas"/>
          <w:color w:val="B43C3C"/>
          <w:sz w:val="18"/>
        </w:rPr>
        <w:t>ri.foundry.main.dataset.&lt;uuid&gt;</w:t>
      </w:r>
      <w:r>
        <w:rPr>
          <w:rFonts w:ascii="微软雅黑" w:hAnsi="微软雅黑"/>
          <w:sz w:val="21"/>
        </w:rPr>
        <w:t>。</w:t>
      </w:r>
    </w:p>
    <w:p>
      <w:pPr>
        <w:pStyle w:val="ListBullet"/>
        <w:spacing w:line="360" w:lineRule="auto" w:after="120"/>
      </w:pPr>
      <w:r>
        <w:rPr>
          <w:rFonts w:ascii="微软雅黑" w:hAnsi="微软雅黑"/>
          <w:b/>
          <w:sz w:val="21"/>
        </w:rPr>
        <w:t>Endpoint</w:t>
      </w:r>
      <w:r>
        <w:rPr>
          <w:rFonts w:ascii="微软雅黑" w:hAnsi="微软雅黑"/>
          <w:sz w:val="21"/>
        </w:rPr>
        <w:t xml:space="preserve">: </w:t>
      </w:r>
      <w:r>
        <w:rPr>
          <w:rFonts w:ascii="Consolas" w:hAnsi="Consolas"/>
          <w:color w:val="B43C3C"/>
          <w:sz w:val="18"/>
        </w:rPr>
        <w:t>https://&lt;FOUNDRY_URL&gt;/io/s3</w:t>
      </w:r>
    </w:p>
    <w:p>
      <w:pPr>
        <w:pStyle w:val="ListBullet"/>
        <w:spacing w:line="360" w:lineRule="auto" w:after="120"/>
      </w:pPr>
      <w:r>
        <w:rPr>
          <w:rFonts w:ascii="微软雅黑" w:hAnsi="微软雅黑"/>
          <w:b/>
          <w:sz w:val="21"/>
        </w:rPr>
        <w:t>Signing region</w:t>
      </w:r>
      <w:r>
        <w:rPr>
          <w:rFonts w:ascii="微软雅黑" w:hAnsi="微软雅黑"/>
          <w:sz w:val="21"/>
        </w:rPr>
        <w:t xml:space="preserve">: </w:t>
      </w:r>
      <w:r>
        <w:rPr>
          <w:rFonts w:ascii="Consolas" w:hAnsi="Consolas"/>
          <w:color w:val="B43C3C"/>
          <w:sz w:val="18"/>
        </w:rPr>
        <w:t>foundry</w:t>
      </w:r>
    </w:p>
    <w:p>
      <w:pPr>
        <w:pStyle w:val="ListBullet"/>
        <w:spacing w:line="360" w:lineRule="auto" w:after="120"/>
      </w:pPr>
      <w:r>
        <w:rPr>
          <w:rFonts w:ascii="微软雅黑" w:hAnsi="微软雅黑"/>
          <w:b/>
          <w:sz w:val="21"/>
        </w:rPr>
        <w:t>Signing process</w:t>
      </w:r>
      <w:r>
        <w:rPr>
          <w:rFonts w:ascii="微软雅黑" w:hAnsi="微软雅黑"/>
          <w:sz w:val="21"/>
        </w:rPr>
        <w:t>: Signature Version 4 (SigV4)</w:t>
      </w:r>
    </w:p>
    <w:p>
      <w:pPr>
        <w:pStyle w:val="ListBullet"/>
        <w:spacing w:line="360" w:lineRule="auto" w:after="120"/>
      </w:pPr>
      <w:r>
        <w:rPr>
          <w:rFonts w:ascii="微软雅黑" w:hAnsi="微软雅黑"/>
          <w:b/>
          <w:sz w:val="21"/>
        </w:rPr>
        <w:t>Addressing-style</w:t>
      </w:r>
      <w:r>
        <w:rPr>
          <w:rFonts w:ascii="微软雅黑" w:hAnsi="微软雅黑"/>
          <w:sz w:val="21"/>
        </w:rPr>
        <w:t>: Path-style requests</w:t>
      </w:r>
    </w:p>
    <w:p>
      <w:pPr>
        <w:pStyle w:val="ListBullet"/>
        <w:spacing w:line="360" w:lineRule="auto" w:after="120"/>
      </w:pPr>
      <w:r>
        <w:rPr>
          <w:rFonts w:ascii="微软雅黑" w:hAnsi="微软雅黑"/>
          <w:b/>
          <w:sz w:val="21"/>
        </w:rPr>
        <w:t>Network protocol</w:t>
      </w:r>
      <w:r>
        <w:rPr>
          <w:rFonts w:ascii="微软雅黑" w:hAnsi="微软雅黑"/>
          <w:sz w:val="21"/>
        </w:rPr>
        <w:t xml:space="preserve">: </w:t>
      </w:r>
      <w:r>
        <w:rPr>
          <w:rFonts w:ascii="Consolas" w:hAnsi="Consolas"/>
          <w:color w:val="B43C3C"/>
          <w:sz w:val="18"/>
        </w:rPr>
        <w:t>HTTPS</w:t>
      </w:r>
    </w:p>
    <w:p>
      <w:pPr>
        <w:pStyle w:val="ListBullet"/>
        <w:spacing w:line="360" w:lineRule="auto" w:after="120"/>
      </w:pPr>
      <w:r>
        <w:rPr>
          <w:rFonts w:ascii="微软雅黑" w:hAnsi="微软雅黑"/>
          <w:b/>
          <w:sz w:val="21"/>
        </w:rPr>
        <w:t>Listing API version</w:t>
      </w:r>
      <w:r>
        <w:rPr>
          <w:rFonts w:ascii="微软雅黑" w:hAnsi="微软雅黑"/>
          <w:sz w:val="21"/>
        </w:rPr>
        <w:t xml:space="preserve">: </w:t>
      </w:r>
      <w:r>
        <w:rPr>
          <w:rFonts w:ascii="Consolas" w:hAnsi="Consolas"/>
          <w:color w:val="B43C3C"/>
          <w:sz w:val="18"/>
        </w:rPr>
        <w:t>ListObjectsV2</w:t>
      </w:r>
    </w:p>
    <w:p>
      <w:pPr>
        <w:spacing w:line="360" w:lineRule="auto" w:after="120"/>
      </w:pPr>
      <w:r>
        <w:rPr>
          <w:rFonts w:ascii="微软雅黑" w:hAnsi="微软雅黑"/>
          <w:sz w:val="21"/>
        </w:rPr>
        <w:t xml:space="preserve">     完成设置以配置 Cloud Storage 桶的目标、计划和传输任务的设置。</w:t>
      </w:r>
    </w:p>
    <w:p>
      <w:pPr>
        <w:pStyle w:val="Heading3"/>
      </w:pPr>
      <w:r>
        <w:rPr>
          <w:rFonts w:ascii="微软雅黑" w:hAnsi="微软雅黑"/>
        </w:rPr>
        <w:t>Apache NiFi</w:t>
      </w:r>
    </w:p>
    <w:p>
      <w:pPr>
        <w:spacing w:line="360" w:lineRule="auto" w:after="120"/>
      </w:pPr>
      <w:r>
        <w:rPr>
          <w:rFonts w:ascii="微软雅黑" w:hAnsi="微软雅黑"/>
          <w:sz w:val="21"/>
        </w:rPr>
        <w:t xml:space="preserve">您可以使用 Apache NiFi 在 Foundry 数据集中读取和写入文件。以下示例展示如何配置 </w:t>
      </w:r>
      <w:r>
        <w:rPr>
          <w:rFonts w:ascii="Consolas" w:hAnsi="Consolas"/>
          <w:color w:val="B43C3C"/>
          <w:sz w:val="18"/>
        </w:rPr>
        <w:t>PutS3Object</w:t>
      </w:r>
      <w:r>
        <w:rPr>
          <w:rFonts w:ascii="微软雅黑" w:hAnsi="微软雅黑"/>
          <w:sz w:val="21"/>
        </w:rPr>
        <w:t xml:space="preserve"> 处理器类型以进行写入：</w:t>
      </w:r>
    </w:p>
    <w:p>
      <w:pPr>
        <w:pStyle w:val="ListBullet"/>
        <w:spacing w:line="360" w:lineRule="auto" w:after="120"/>
      </w:pPr>
      <w:r>
        <w:rPr>
          <w:rFonts w:ascii="微软雅黑" w:hAnsi="微软雅黑"/>
          <w:b/>
          <w:sz w:val="21"/>
        </w:rPr>
        <w:t>Object Key</w:t>
      </w:r>
      <w:r>
        <w:rPr>
          <w:rFonts w:ascii="微软雅黑" w:hAnsi="微软雅黑"/>
          <w:sz w:val="21"/>
        </w:rPr>
        <w:t xml:space="preserve">: 数据集中的逻辑文件路径，格式为 </w:t>
      </w:r>
      <w:r>
        <w:rPr>
          <w:rFonts w:ascii="Consolas" w:hAnsi="Consolas"/>
          <w:color w:val="B43C3C"/>
          <w:sz w:val="18"/>
        </w:rPr>
        <w:t>path/to/file.csv</w:t>
      </w:r>
    </w:p>
    <w:p>
      <w:pPr>
        <w:pStyle w:val="ListBullet"/>
        <w:spacing w:line="360" w:lineRule="auto" w:after="120"/>
      </w:pPr>
      <w:r>
        <w:rPr>
          <w:rFonts w:ascii="微软雅黑" w:hAnsi="微软雅黑"/>
          <w:b/>
          <w:sz w:val="21"/>
        </w:rPr>
        <w:t>Bucket</w:t>
      </w:r>
      <w:r>
        <w:rPr>
          <w:rFonts w:ascii="微软雅黑" w:hAnsi="微软雅黑"/>
          <w:sz w:val="21"/>
        </w:rPr>
        <w:t xml:space="preserve">: 数据集 RID，例如 </w:t>
      </w:r>
      <w:r>
        <w:rPr>
          <w:rFonts w:ascii="Consolas" w:hAnsi="Consolas"/>
          <w:color w:val="B43C3C"/>
          <w:sz w:val="18"/>
        </w:rPr>
        <w:t>ri.foundry.main.dataset.&lt;uuid&gt;</w:t>
      </w:r>
    </w:p>
    <w:p>
      <w:pPr>
        <w:pStyle w:val="ListBullet"/>
        <w:spacing w:line="360" w:lineRule="auto" w:after="120"/>
      </w:pPr>
      <w:r>
        <w:rPr>
          <w:rFonts w:ascii="微软雅黑" w:hAnsi="微软雅黑"/>
          <w:b/>
          <w:sz w:val="21"/>
        </w:rPr>
        <w:t>Access Key ID</w:t>
      </w:r>
      <w:r>
        <w:rPr>
          <w:rFonts w:ascii="微软雅黑" w:hAnsi="微软雅黑"/>
          <w:sz w:val="21"/>
        </w:rPr>
        <w:t xml:space="preserve">: </w:t>
      </w:r>
      <w:r>
        <w:rPr>
          <w:rFonts w:ascii="Consolas" w:hAnsi="Consolas"/>
          <w:color w:val="B43C3C"/>
          <w:sz w:val="18"/>
        </w:rPr>
        <w:t>&lt;ACCESS_KEY_ID&gt;</w:t>
      </w:r>
    </w:p>
    <w:p>
      <w:pPr>
        <w:pStyle w:val="ListBullet"/>
        <w:spacing w:line="360" w:lineRule="auto" w:after="120"/>
      </w:pPr>
      <w:r>
        <w:rPr>
          <w:rFonts w:ascii="微软雅黑" w:hAnsi="微软雅黑"/>
          <w:b/>
          <w:sz w:val="21"/>
        </w:rPr>
        <w:t>Secret Access Key</w:t>
      </w:r>
      <w:r>
        <w:rPr>
          <w:rFonts w:ascii="微软雅黑" w:hAnsi="微软雅黑"/>
          <w:sz w:val="21"/>
        </w:rPr>
        <w:t xml:space="preserve">: </w:t>
      </w:r>
      <w:r>
        <w:rPr>
          <w:rFonts w:ascii="Consolas" w:hAnsi="Consolas"/>
          <w:color w:val="B43C3C"/>
          <w:sz w:val="18"/>
        </w:rPr>
        <w:t>&lt;SECRET_ACCESS_KEY&gt;</w:t>
      </w:r>
    </w:p>
    <w:p>
      <w:pPr>
        <w:pStyle w:val="ListBullet"/>
        <w:spacing w:line="360" w:lineRule="auto" w:after="120"/>
      </w:pPr>
      <w:r>
        <w:rPr>
          <w:rFonts w:ascii="微软雅黑" w:hAnsi="微软雅黑"/>
          <w:b/>
          <w:sz w:val="21"/>
        </w:rPr>
        <w:t>Region</w:t>
      </w:r>
      <w:r>
        <w:rPr>
          <w:rFonts w:ascii="微软雅黑" w:hAnsi="微软雅黑"/>
          <w:sz w:val="21"/>
        </w:rPr>
        <w:t xml:space="preserve">: "US East (N. Virginia)" 对应 </w:t>
      </w:r>
      <w:r>
        <w:rPr>
          <w:rFonts w:ascii="Consolas" w:hAnsi="Consolas"/>
          <w:color w:val="B43C3C"/>
          <w:sz w:val="18"/>
        </w:rPr>
        <w:t>us-east-1</w:t>
      </w:r>
    </w:p>
    <w:p>
      <w:pPr>
        <w:pStyle w:val="ListBullet"/>
        <w:spacing w:line="360" w:lineRule="auto" w:after="120"/>
      </w:pPr>
      <w:r>
        <w:rPr>
          <w:rFonts w:ascii="微软雅黑" w:hAnsi="微软雅黑"/>
          <w:b/>
          <w:sz w:val="21"/>
        </w:rPr>
        <w:t>Use Path Style Access</w:t>
      </w:r>
      <w:r>
        <w:rPr>
          <w:rFonts w:ascii="微软雅黑" w:hAnsi="微软雅黑"/>
          <w:sz w:val="21"/>
        </w:rPr>
        <w:t xml:space="preserve">: </w:t>
      </w:r>
      <w:r>
        <w:rPr>
          <w:rFonts w:ascii="Consolas" w:hAnsi="Consolas"/>
          <w:color w:val="B43C3C"/>
          <w:sz w:val="18"/>
        </w:rPr>
        <w:t>true</w:t>
      </w:r>
    </w:p>
    <w:p>
      <w:pPr>
        <w:pStyle w:val="ListBullet"/>
        <w:spacing w:line="360" w:lineRule="auto" w:after="120"/>
      </w:pPr>
      <w:r>
        <w:rPr>
          <w:rFonts w:ascii="微软雅黑" w:hAnsi="微软雅黑"/>
          <w:b/>
          <w:sz w:val="21"/>
        </w:rPr>
        <w:t>Endpoint Override URL:</w:t>
      </w:r>
      <w:r>
        <w:rPr>
          <w:rFonts w:ascii="微软雅黑" w:hAnsi="微软雅黑"/>
          <w:sz w:val="21"/>
        </w:rPr>
        <w:t xml:space="preserve"> </w:t>
      </w:r>
      <w:r>
        <w:rPr>
          <w:rFonts w:ascii="Consolas" w:hAnsi="Consolas"/>
          <w:color w:val="B43C3C"/>
          <w:sz w:val="18"/>
        </w:rPr>
        <w:t>https://&lt;FOUNDRY_URL&gt;/io/s3</w:t>
      </w:r>
    </w:p>
    <w:p>
      <w:pPr>
        <w:spacing w:line="360" w:lineRule="auto" w:after="120"/>
      </w:pPr>
      <w:r>
        <w:rPr>
          <w:rFonts w:ascii="微软雅黑" w:hAnsi="微软雅黑"/>
          <w:sz w:val="21"/>
        </w:rPr>
        <w:t xml:space="preserve">请参考 </w:t>
      </w:r>
      <w:r>
        <w:rPr>
          <w:rFonts w:ascii="微软雅黑" w:hAnsi="微软雅黑"/>
          <w:color w:val="0066CC"/>
          <w:sz w:val="21"/>
          <w:u w:val="single"/>
        </w:rPr>
        <w:t>Apache NiFi 文档 ↗</w:t>
      </w:r>
      <w:r>
        <w:rPr>
          <w:rFonts w:ascii="微软雅黑" w:hAnsi="微软雅黑"/>
          <w:sz w:val="21"/>
        </w:rPr>
        <w:t xml:space="preserve"> 以获取更多关于 </w:t>
      </w:r>
      <w:r>
        <w:rPr>
          <w:rFonts w:ascii="Consolas" w:hAnsi="Consolas"/>
          <w:color w:val="B43C3C"/>
          <w:sz w:val="18"/>
        </w:rPr>
        <w:t>PutS3Object</w:t>
      </w:r>
      <w:r>
        <w:rPr>
          <w:rFonts w:ascii="微软雅黑" w:hAnsi="微软雅黑"/>
          <w:sz w:val="21"/>
        </w:rPr>
        <w:t xml:space="preserve"> 处理器和其他支持 S3 兼容源的处理器的信息。</w:t>
      </w:r>
    </w:p>
    <w:p>
      <w:pPr>
        <w:pStyle w:val="Heading3"/>
      </w:pPr>
      <w:r>
        <w:rPr>
          <w:rFonts w:ascii="微软雅黑" w:hAnsi="微软雅黑"/>
        </w:rPr>
        <w:t>Airbyte</w:t>
      </w:r>
    </w:p>
    <w:p>
      <w:pPr>
        <w:spacing w:line="360" w:lineRule="auto" w:after="120"/>
      </w:pPr>
      <w:r>
        <w:rPr>
          <w:rFonts w:ascii="微软雅黑" w:hAnsi="微软雅黑"/>
          <w:color w:val="0066CC"/>
          <w:sz w:val="21"/>
          <w:u w:val="single"/>
        </w:rPr>
        <w:t>Airbyte ↗</w:t>
      </w:r>
      <w:r>
        <w:rPr>
          <w:rFonts w:ascii="微软雅黑" w:hAnsi="微软雅黑"/>
          <w:sz w:val="21"/>
        </w:rPr>
        <w:t xml:space="preserve"> 对 S3 目标的支持可用于将文件写入 Foundry 数据集。设置以下目标设置：</w:t>
      </w:r>
    </w:p>
    <w:p>
      <w:pPr>
        <w:pStyle w:val="ListBullet"/>
        <w:spacing w:line="360" w:lineRule="auto" w:after="120"/>
      </w:pPr>
      <w:r>
        <w:rPr>
          <w:rFonts w:ascii="微软雅黑" w:hAnsi="微软雅黑"/>
          <w:b/>
          <w:sz w:val="21"/>
        </w:rPr>
        <w:t>Destination type:</w:t>
      </w:r>
      <w:r>
        <w:rPr>
          <w:rFonts w:ascii="微软雅黑" w:hAnsi="微软雅黑"/>
          <w:sz w:val="21"/>
        </w:rPr>
        <w:t xml:space="preserve"> S3</w:t>
      </w:r>
    </w:p>
    <w:p>
      <w:pPr>
        <w:pStyle w:val="ListBullet"/>
        <w:spacing w:line="360" w:lineRule="auto" w:after="120"/>
      </w:pPr>
      <w:r>
        <w:rPr>
          <w:rFonts w:ascii="微软雅黑" w:hAnsi="微软雅黑"/>
          <w:b/>
          <w:sz w:val="21"/>
        </w:rPr>
        <w:t>S3 Key ID:</w:t>
      </w:r>
      <w:r>
        <w:rPr>
          <w:rFonts w:ascii="微软雅黑" w:hAnsi="微软雅黑"/>
          <w:sz w:val="21"/>
        </w:rPr>
        <w:t xml:space="preserve"> </w:t>
      </w:r>
      <w:r>
        <w:rPr>
          <w:rFonts w:ascii="Consolas" w:hAnsi="Consolas"/>
          <w:color w:val="B43C3C"/>
          <w:sz w:val="18"/>
        </w:rPr>
        <w:t>&lt;ACCESS_KEY_ID&gt;</w:t>
      </w:r>
    </w:p>
    <w:p>
      <w:pPr>
        <w:pStyle w:val="ListBullet"/>
        <w:spacing w:line="360" w:lineRule="auto" w:after="120"/>
      </w:pPr>
      <w:r>
        <w:rPr>
          <w:rFonts w:ascii="微软雅黑" w:hAnsi="微软雅黑"/>
          <w:b/>
          <w:sz w:val="21"/>
        </w:rPr>
        <w:t>S3 Access Key:</w:t>
      </w:r>
      <w:r>
        <w:rPr>
          <w:rFonts w:ascii="微软雅黑" w:hAnsi="微软雅黑"/>
          <w:sz w:val="21"/>
        </w:rPr>
        <w:t xml:space="preserve"> </w:t>
      </w:r>
      <w:r>
        <w:rPr>
          <w:rFonts w:ascii="Consolas" w:hAnsi="Consolas"/>
          <w:color w:val="B43C3C"/>
          <w:sz w:val="18"/>
        </w:rPr>
        <w:t>&lt;SECRET_ACCESS_KEY&gt;</w:t>
      </w:r>
    </w:p>
    <w:p>
      <w:pPr>
        <w:pStyle w:val="ListBullet"/>
        <w:spacing w:line="360" w:lineRule="auto" w:after="120"/>
      </w:pPr>
      <w:r>
        <w:rPr>
          <w:rFonts w:ascii="微软雅黑" w:hAnsi="微软雅黑"/>
          <w:b/>
          <w:sz w:val="21"/>
        </w:rPr>
        <w:t>S3 Bucket Name:</w:t>
      </w:r>
      <w:r>
        <w:rPr>
          <w:rFonts w:ascii="微软雅黑" w:hAnsi="微软雅黑"/>
          <w:sz w:val="21"/>
        </w:rPr>
        <w:t xml:space="preserve"> </w:t>
      </w:r>
      <w:r>
        <w:rPr>
          <w:rFonts w:ascii="Consolas" w:hAnsi="Consolas"/>
          <w:color w:val="B43C3C"/>
          <w:sz w:val="18"/>
        </w:rPr>
        <w:t>ri.foundry.main.dataset.&lt;uuid&gt;</w:t>
      </w:r>
    </w:p>
    <w:p>
      <w:pPr>
        <w:pStyle w:val="ListBullet"/>
        <w:spacing w:line="360" w:lineRule="auto" w:after="120"/>
      </w:pPr>
      <w:r>
        <w:rPr>
          <w:rFonts w:ascii="微软雅黑" w:hAnsi="微软雅黑"/>
          <w:b/>
          <w:sz w:val="21"/>
        </w:rPr>
        <w:t>S3 Bucket Path:</w:t>
      </w:r>
      <w:r>
        <w:rPr>
          <w:rFonts w:ascii="微软雅黑" w:hAnsi="微软雅黑"/>
          <w:sz w:val="21"/>
        </w:rPr>
        <w:t xml:space="preserve"> 任意有效的子目录路径。Airbyte 将文件写入 Foundry 数据集内的该子目录中。</w:t>
      </w:r>
    </w:p>
    <w:p>
      <w:pPr>
        <w:pStyle w:val="ListBullet"/>
        <w:spacing w:line="360" w:lineRule="auto" w:after="120"/>
      </w:pPr>
      <w:r>
        <w:rPr>
          <w:rFonts w:ascii="微软雅黑" w:hAnsi="微软雅黑"/>
          <w:b/>
          <w:sz w:val="21"/>
        </w:rPr>
        <w:t>S3 Bucket Region:</w:t>
      </w:r>
      <w:r>
        <w:rPr>
          <w:rFonts w:ascii="微软雅黑" w:hAnsi="微软雅黑"/>
          <w:sz w:val="21"/>
        </w:rPr>
        <w:t xml:space="preserve"> </w:t>
      </w:r>
      <w:r>
        <w:rPr>
          <w:rFonts w:ascii="Consolas" w:hAnsi="Consolas"/>
          <w:color w:val="B43C3C"/>
          <w:sz w:val="18"/>
        </w:rPr>
        <w:t>us-east-1</w:t>
      </w:r>
    </w:p>
    <w:p>
      <w:pPr>
        <w:pStyle w:val="ListBullet"/>
        <w:spacing w:line="360" w:lineRule="auto" w:after="120"/>
      </w:pPr>
      <w:r>
        <w:rPr>
          <w:rFonts w:ascii="微软雅黑" w:hAnsi="微软雅黑"/>
          <w:b/>
          <w:sz w:val="21"/>
        </w:rPr>
        <w:t>Output Format:</w:t>
      </w:r>
      <w:r>
        <w:rPr>
          <w:rFonts w:ascii="微软雅黑" w:hAnsi="微软雅黑"/>
          <w:sz w:val="21"/>
        </w:rPr>
        <w:t xml:space="preserve"> 所有 Airbyte 的输出格式都与 Foundry 数据集兼容。</w:t>
      </w:r>
    </w:p>
    <w:p>
      <w:pPr>
        <w:pStyle w:val="ListBullet"/>
        <w:spacing w:line="360" w:lineRule="auto" w:after="120"/>
      </w:pPr>
      <w:r>
        <w:rPr>
          <w:rFonts w:ascii="微软雅黑" w:hAnsi="微软雅黑"/>
          <w:b/>
          <w:sz w:val="21"/>
        </w:rPr>
        <w:t>Endpoint:</w:t>
      </w:r>
      <w:r>
        <w:rPr>
          <w:rFonts w:ascii="微软雅黑" w:hAnsi="微软雅黑"/>
          <w:sz w:val="21"/>
        </w:rPr>
        <w:t xml:space="preserve"> </w:t>
      </w:r>
      <w:r>
        <w:rPr>
          <w:rFonts w:ascii="Consolas" w:hAnsi="Consolas"/>
          <w:color w:val="B43C3C"/>
          <w:sz w:val="18"/>
        </w:rPr>
        <w:t>https://&lt;FOUNDRY_URL&gt;/io/s3</w:t>
      </w:r>
    </w:p>
    <w:p>
      <w:pPr>
        <w:spacing w:line="360" w:lineRule="auto" w:after="120"/>
      </w:pPr>
      <w:r>
        <w:rPr>
          <w:rFonts w:ascii="微软雅黑" w:hAnsi="微软雅黑"/>
          <w:sz w:val="21"/>
        </w:rPr>
        <w:t xml:space="preserve">请参考 Airbyte 的文档 </w:t>
      </w:r>
      <w:r>
        <w:rPr>
          <w:rFonts w:ascii="微软雅黑" w:hAnsi="微软雅黑"/>
          <w:color w:val="0066CC"/>
          <w:sz w:val="21"/>
          <w:u w:val="single"/>
        </w:rPr>
        <w:t>S3 目标 ↗</w:t>
      </w:r>
      <w:r>
        <w:rPr>
          <w:rFonts w:ascii="微软雅黑" w:hAnsi="微软雅黑"/>
          <w:sz w:val="21"/>
        </w:rPr>
        <w:t xml:space="preserve"> 以获取更多信息和配置选项。</w:t>
      </w:r>
    </w:p>
    <w:p>
      <w:pPr>
        <w:pStyle w:val="Heading3"/>
      </w:pPr>
      <w:r>
        <w:rPr>
          <w:rFonts w:ascii="微软雅黑" w:hAnsi="微软雅黑"/>
        </w:rPr>
        <w:t>DuckDB</w:t>
      </w:r>
    </w:p>
    <w:p>
      <w:pPr>
        <w:spacing w:line="360" w:lineRule="auto" w:after="120"/>
      </w:pPr>
      <w:r>
        <w:rPr>
          <w:rFonts w:ascii="微软雅黑" w:hAnsi="微软雅黑"/>
          <w:color w:val="0066CC"/>
          <w:sz w:val="21"/>
          <w:u w:val="single"/>
        </w:rPr>
        <w:t>DuckDB ↗</w:t>
      </w:r>
      <w:r>
        <w:rPr>
          <w:rFonts w:ascii="微软雅黑" w:hAnsi="微软雅黑"/>
          <w:sz w:val="21"/>
        </w:rPr>
        <w:t xml:space="preserve"> 对 S3 的支持可用于查询 Foundry 数据集。您可以使用 DuckDB 的密钥管理凭证，并使用 </w:t>
      </w:r>
      <w:r>
        <w:rPr>
          <w:rFonts w:ascii="Consolas" w:hAnsi="Consolas"/>
          <w:color w:val="B43C3C"/>
          <w:sz w:val="18"/>
        </w:rPr>
        <w:t>s3://</w:t>
      </w:r>
      <w:r>
        <w:rPr>
          <w:rFonts w:ascii="微软雅黑" w:hAnsi="微软雅黑"/>
          <w:sz w:val="21"/>
        </w:rPr>
        <w:t xml:space="preserve"> 前缀的 URL 查询数据集。</w:t>
      </w:r>
    </w:p>
    <w:p>
      <w:pPr>
        <w:spacing w:before="80" w:after="80"/>
        <w:ind w:left="567"/>
      </w:pPr>
      <w:r>
        <w:rPr>
          <w:rFonts w:ascii="Consolas" w:hAnsi="Consolas"/>
          <w:color w:val="505050"/>
          <w:sz w:val="18"/>
        </w:rPr>
        <w:t>CREATE SECRET foundry_secret (</w:t>
        <w:br/>
        <w:t xml:space="preserve">    TYPE S3,  -- 指定类型为 S3</w:t>
        <w:br/>
        <w:t xml:space="preserve">    KEY_ID '&lt;ACCESS_KEY_ID&gt;',  -- 访问密钥 ID</w:t>
        <w:br/>
        <w:t xml:space="preserve">    SECRET '&lt;SECRET_ACCESS_KEY&gt;',  -- 访问密钥</w:t>
        <w:br/>
        <w:t xml:space="preserve">    REGION 'foundry',  -- 区域设置为 foundry</w:t>
        <w:br/>
        <w:t xml:space="preserve">    ENDPOINT '&lt;FOUNDRY_URL&gt;/io/s3',  -- S3 服务的终端 URL</w:t>
        <w:br/>
        <w:t xml:space="preserve">    URL_STYLE 'path'  -- URL 风格为路径</w:t>
        <w:br/>
        <w:t>);</w:t>
        <w:br/>
        <w:t>CREATE TABLE new_tbl AS SELECT * FROM 's3://ri.foundry.main.dataset.&lt;uuid&gt;/spark/*.parquet';</w:t>
        <w:br/>
        <w:t>-- 从指定的 S3 路径中选择所有 parquet 文件并创建新表 new_tbl</w:t>
      </w:r>
    </w:p>
    <w:p>
      <w:pPr>
        <w:spacing w:line="360" w:lineRule="auto" w:after="120"/>
      </w:pPr>
      <w:r>
        <w:rPr>
          <w:rFonts w:ascii="微软雅黑" w:hAnsi="微软雅黑"/>
          <w:sz w:val="21"/>
        </w:rPr>
        <w:t>请参考</w:t>
      </w:r>
      <w:r>
        <w:rPr>
          <w:rFonts w:ascii="微软雅黑" w:hAnsi="微软雅黑"/>
          <w:color w:val="0066CC"/>
          <w:sz w:val="21"/>
          <w:u w:val="single"/>
        </w:rPr>
        <w:t>DuckDB 文档 ↗</w:t>
      </w:r>
      <w:r>
        <w:rPr>
          <w:rFonts w:ascii="微软雅黑" w:hAnsi="微软雅黑"/>
          <w:sz w:val="21"/>
        </w:rPr>
        <w:t>了解更多信息。</w:t>
      </w:r>
    </w:p>
    <w:p>
      <w:pPr>
        <w:spacing w:line="360" w:lineRule="auto" w:after="120"/>
      </w:pPr>
      <w:r>
        <w:rPr>
          <w:rFonts w:ascii="微软雅黑" w:hAnsi="微软雅黑"/>
          <w:sz w:val="21"/>
        </w:rPr>
        <w:t>在上述密钥配置中，</w:t>
      </w:r>
      <w:r>
        <w:rPr>
          <w:rFonts w:ascii="Consolas" w:hAnsi="Consolas"/>
          <w:color w:val="B43C3C"/>
          <w:sz w:val="18"/>
        </w:rPr>
        <w:t>ENDPOINT</w:t>
      </w:r>
      <w:r>
        <w:rPr>
          <w:rFonts w:ascii="微软雅黑" w:hAnsi="微软雅黑"/>
          <w:sz w:val="21"/>
        </w:rPr>
        <w:t xml:space="preserve"> 配置参数不应包含 </w:t>
      </w:r>
      <w:r>
        <w:rPr>
          <w:rFonts w:ascii="Consolas" w:hAnsi="Consolas"/>
          <w:color w:val="B43C3C"/>
          <w:sz w:val="18"/>
        </w:rPr>
        <w:t>https://</w:t>
      </w:r>
      <w:r>
        <w:rPr>
          <w:rFonts w:ascii="微软雅黑" w:hAnsi="微软雅黑"/>
          <w:sz w:val="21"/>
        </w:rPr>
        <w:t xml:space="preserve"> 方案。URL 方案由 </w:t>
      </w:r>
      <w:r>
        <w:rPr>
          <w:rFonts w:ascii="Consolas" w:hAnsi="Consolas"/>
          <w:color w:val="B43C3C"/>
          <w:sz w:val="18"/>
        </w:rPr>
        <w:t>USE_SSL</w:t>
      </w:r>
      <w:r>
        <w:rPr>
          <w:rFonts w:ascii="微软雅黑" w:hAnsi="微软雅黑"/>
          <w:sz w:val="21"/>
        </w:rPr>
        <w:t xml:space="preserve"> 参数自动处理，默认为 </w:t>
      </w:r>
      <w:r>
        <w:rPr>
          <w:rFonts w:ascii="Consolas" w:hAnsi="Consolas"/>
          <w:color w:val="B43C3C"/>
          <w:sz w:val="18"/>
        </w:rPr>
        <w:t>true</w:t>
      </w:r>
      <w:r>
        <w:rPr>
          <w:rFonts w:ascii="微软雅黑" w:hAnsi="微软雅黑"/>
          <w:sz w:val="21"/>
        </w:rPr>
        <w:t>。</w:t>
      </w:r>
    </w:p>
    <w:p>
      <w:pPr>
        <w:pStyle w:val="Heading3"/>
      </w:pPr>
      <w:r>
        <w:rPr>
          <w:rFonts w:ascii="微软雅黑" w:hAnsi="微软雅黑"/>
        </w:rPr>
        <w:t>Polars</w:t>
      </w:r>
    </w:p>
    <w:p>
      <w:pPr>
        <w:spacing w:line="360" w:lineRule="auto" w:after="120"/>
      </w:pPr>
      <w:r>
        <w:rPr>
          <w:rFonts w:ascii="微软雅黑" w:hAnsi="微软雅黑"/>
          <w:color w:val="0066CC"/>
          <w:sz w:val="21"/>
          <w:u w:val="single"/>
        </w:rPr>
        <w:t>Polars ↗</w:t>
      </w:r>
      <w:r>
        <w:rPr>
          <w:rFonts w:ascii="微软雅黑" w:hAnsi="微软雅黑"/>
          <w:sz w:val="21"/>
        </w:rPr>
        <w:t xml:space="preserve"> 对 S3 的支持可以被用于在查询 Foundry 数据集。</w:t>
      </w:r>
    </w:p>
    <w:p>
      <w:pPr>
        <w:spacing w:before="80" w:after="80"/>
        <w:ind w:left="567"/>
      </w:pPr>
      <w:r>
        <w:rPr>
          <w:rFonts w:ascii="Consolas" w:hAnsi="Consolas"/>
          <w:color w:val="505050"/>
          <w:sz w:val="18"/>
        </w:rPr>
        <w:t>import polars as pl</w:t>
        <w:br/>
        <w:t># 配置 Foundry 的 S3 存储 URL</w:t>
        <w:br/>
        <w:t>hostname = "https://&lt;FOUNDRY_URL&gt;/io/s3"</w:t>
        <w:br/>
        <w:t># 配置 AWS 访问密钥 ID</w:t>
        <w:br/>
        <w:t>access_key_id = "&lt;ACCESS_KEY_ID&gt;"</w:t>
        <w:br/>
        <w:t># 配置 AWS 秘密访问密钥</w:t>
        <w:br/>
        <w:t>secret_access_key = "&lt;SECRET_ACCESS_KEY&gt;"</w:t>
        <w:br/>
        <w:t># 配置数据集的 RID（资源标识符）</w:t>
        <w:br/>
        <w:t>dataset_rid = "ri.foundry.main.dataset.&lt;uuid&gt;"</w:t>
        <w:br/>
        <w:t># 配置存储选项</w:t>
        <w:br/>
        <w:t>storage_options = {</w:t>
        <w:br/>
        <w:t xml:space="preserve">    "aws_access_key_id": access_key_id,</w:t>
        <w:br/>
        <w:t xml:space="preserve">    "aws_secret_access_key": secret_access_key,</w:t>
        <w:br/>
        <w:t xml:space="preserve">    "aws_region": "foundry",</w:t>
        <w:br/>
        <w:t xml:space="preserve">    "endpoint_url": hostname</w:t>
        <w:br/>
        <w:t>}</w:t>
        <w:br/>
        <w:t># 使用 polars 库扫描 Parquet 文件，并加载为 DataFrame</w:t>
        <w:br/>
        <w:t>df = pl.scan_parquet(f"s3://{dataset_rid}/spark/*.parquet", storage_options=storage_options)</w:t>
      </w:r>
    </w:p>
    <w:p>
      <w:pPr>
        <w:spacing w:line="360" w:lineRule="auto" w:after="120"/>
      </w:pPr>
      <w:r>
        <w:rPr>
          <w:rFonts w:ascii="微软雅黑" w:hAnsi="微软雅黑"/>
          <w:sz w:val="21"/>
        </w:rPr>
        <w:t xml:space="preserve">有关更多信息，请参阅 </w:t>
      </w:r>
      <w:r>
        <w:rPr>
          <w:rFonts w:ascii="微软雅黑" w:hAnsi="微软雅黑"/>
          <w:color w:val="0066CC"/>
          <w:sz w:val="21"/>
          <w:u w:val="single"/>
        </w:rPr>
        <w:t>Polars 文档 ↗</w:t>
      </w:r>
      <w:r>
        <w:rPr>
          <w:rFonts w:ascii="微软雅黑" w:hAnsi="微软雅黑"/>
          <w:sz w:val="21"/>
        </w:rPr>
        <w:t>。</w:t>
      </w:r>
    </w:p>
    <w:p>
      <w:r>
        <w:br w:type="page"/>
      </w:r>
    </w:p>
    <w:p>
      <w:pPr>
        <w:pStyle w:val="Heading1"/>
      </w:pPr>
      <w:r>
        <w:rPr>
          <w:rFonts w:ascii="微软雅黑" w:hAnsi="微软雅黑"/>
        </w:rPr>
        <w:t>健康检查</w:t>
      </w:r>
    </w:p>
    <w:p>
      <w:pPr>
        <w:spacing w:line="360" w:lineRule="auto" w:after="120"/>
      </w:pPr>
      <w:r>
        <w:rPr>
          <w:rFonts w:ascii="微软雅黑" w:hAnsi="微软雅黑"/>
          <w:sz w:val="21"/>
        </w:rPr>
        <w:t># 健康检查</w:t>
      </w:r>
    </w:p>
    <w:p>
      <w:pPr>
        <w:spacing w:line="360" w:lineRule="auto" w:after="120"/>
      </w:pPr>
      <w:r>
        <w:rPr>
          <w:rFonts w:ascii="微软雅黑" w:hAnsi="微软雅黑"/>
          <w:sz w:val="21"/>
        </w:rPr>
        <w:t>一旦数据同步到Foundry，并在管道中被变换，并使用</w:t>
      </w:r>
      <w:r>
        <w:rPr>
          <w:rFonts w:ascii="微软雅黑" w:hAnsi="微软雅黑"/>
          <w:color w:val="0066CC"/>
          <w:sz w:val="21"/>
          <w:u w:val="single"/>
        </w:rPr>
        <w:t>计划</w:t>
      </w:r>
      <w:r>
        <w:rPr>
          <w:rFonts w:ascii="微软雅黑" w:hAnsi="微软雅黑"/>
          <w:sz w:val="21"/>
        </w:rPr>
        <w:t>定期运行后，可以使用</w:t>
      </w:r>
      <w:r>
        <w:rPr>
          <w:rFonts w:ascii="微软雅黑" w:hAnsi="微软雅黑"/>
          <w:b/>
          <w:sz w:val="21"/>
        </w:rPr>
        <w:t>健康检查</w:t>
      </w:r>
      <w:r>
        <w:rPr>
          <w:rFonts w:ascii="微软雅黑" w:hAnsi="微软雅黑"/>
          <w:sz w:val="21"/>
        </w:rPr>
        <w:t>来验证整个管道中的数据质量。这是确保管道中流动的数据保持可靠并维持预期结构所必需的。健康检查通常用于</w:t>
      </w:r>
      <w:r>
        <w:rPr>
          <w:rFonts w:ascii="微软雅黑" w:hAnsi="微软雅黑"/>
          <w:color w:val="0066CC"/>
          <w:sz w:val="21"/>
          <w:u w:val="single"/>
        </w:rPr>
        <w:t>管道维护</w:t>
      </w:r>
      <w:r>
        <w:rPr>
          <w:rFonts w:ascii="微软雅黑" w:hAnsi="微软雅黑"/>
          <w:sz w:val="21"/>
        </w:rPr>
        <w:t>。</w:t>
      </w:r>
    </w:p>
    <w:p>
      <w:pPr>
        <w:spacing w:line="360" w:lineRule="auto" w:after="120"/>
      </w:pPr>
      <w:r>
        <w:rPr>
          <w:rFonts w:ascii="微软雅黑" w:hAnsi="微软雅黑"/>
          <w:sz w:val="21"/>
        </w:rPr>
        <w:t>在Foundry中有几种类型的健康检查：</w:t>
      </w:r>
    </w:p>
    <w:p>
      <w:pPr>
        <w:pStyle w:val="ListBullet"/>
        <w:spacing w:line="360" w:lineRule="auto" w:after="120"/>
      </w:pPr>
      <w:r>
        <w:rPr>
          <w:rFonts w:ascii="微软雅黑" w:hAnsi="微软雅黑"/>
          <w:sz w:val="21"/>
        </w:rPr>
        <w:t>*任务级检查* 验证与输出数据集对应的任务是否成功完成。</w:t>
      </w:r>
    </w:p>
    <w:p>
      <w:pPr>
        <w:pStyle w:val="ListBullet"/>
        <w:spacing w:line="360" w:lineRule="auto" w:after="120"/>
      </w:pPr>
      <w:r>
        <w:rPr>
          <w:rFonts w:ascii="微软雅黑" w:hAnsi="微软雅黑"/>
          <w:sz w:val="21"/>
        </w:rPr>
        <w:t>*搭建级检查* 验证搭建是否成功完成，并在预期时间内完成。</w:t>
      </w:r>
    </w:p>
    <w:p>
      <w:pPr>
        <w:pStyle w:val="ListBullet"/>
        <w:spacing w:line="360" w:lineRule="auto" w:after="120"/>
      </w:pPr>
      <w:r>
        <w:rPr>
          <w:rFonts w:ascii="微软雅黑" w:hAnsi="微软雅黑"/>
          <w:sz w:val="21"/>
        </w:rPr>
        <w:t>*新鲜度检查* 验证数据是否保持最新。</w:t>
      </w:r>
    </w:p>
    <w:p>
      <w:pPr>
        <w:spacing w:line="360" w:lineRule="auto" w:after="120"/>
      </w:pPr>
      <w:r>
        <w:rPr>
          <w:rFonts w:ascii="微软雅黑" w:hAnsi="微软雅黑"/>
          <w:sz w:val="21"/>
        </w:rPr>
        <w:t>要了解更多信息，请参考以下资源：</w:t>
      </w:r>
    </w:p>
    <w:p>
      <w:pPr>
        <w:pStyle w:val="ListBullet"/>
        <w:spacing w:line="360" w:lineRule="auto" w:after="120"/>
      </w:pPr>
      <w:r>
        <w:rPr>
          <w:rFonts w:ascii="微软雅黑" w:hAnsi="微软雅黑"/>
          <w:sz w:val="21"/>
        </w:rPr>
        <w:t>探索</w:t>
      </w:r>
      <w:r>
        <w:rPr>
          <w:rFonts w:ascii="微软雅黑" w:hAnsi="微软雅黑"/>
          <w:color w:val="0066CC"/>
          <w:sz w:val="21"/>
          <w:u w:val="single"/>
        </w:rPr>
        <w:t>数据健康</w:t>
      </w:r>
      <w:r>
        <w:rPr>
          <w:rFonts w:ascii="微软雅黑" w:hAnsi="微软雅黑"/>
          <w:sz w:val="21"/>
        </w:rPr>
        <w:t>应用程序，学习如何定义健康检查。</w:t>
      </w:r>
    </w:p>
    <w:p>
      <w:pPr>
        <w:pStyle w:val="ListBullet"/>
        <w:spacing w:line="360" w:lineRule="auto" w:after="120"/>
      </w:pPr>
      <w:r>
        <w:rPr>
          <w:rFonts w:ascii="微软雅黑" w:hAnsi="微软雅黑"/>
          <w:sz w:val="21"/>
        </w:rPr>
        <w:t>阅读</w:t>
      </w:r>
      <w:r>
        <w:rPr>
          <w:rFonts w:ascii="微软雅黑" w:hAnsi="微软雅黑"/>
          <w:color w:val="0066CC"/>
          <w:sz w:val="21"/>
          <w:u w:val="single"/>
        </w:rPr>
        <w:t>检查参考</w:t>
      </w:r>
      <w:r>
        <w:rPr>
          <w:rFonts w:ascii="微软雅黑" w:hAnsi="微软雅黑"/>
          <w:sz w:val="21"/>
        </w:rPr>
        <w:t>，了解可用检查的范围。</w:t>
      </w:r>
    </w:p>
    <w:p>
      <w:pPr>
        <w:pStyle w:val="ListBullet"/>
        <w:spacing w:line="360" w:lineRule="auto" w:after="120"/>
      </w:pPr>
      <w:r>
        <w:rPr>
          <w:rFonts w:ascii="微软雅黑" w:hAnsi="微软雅黑"/>
          <w:sz w:val="21"/>
        </w:rPr>
        <w:t>了解哪些</w:t>
      </w:r>
      <w:r>
        <w:rPr>
          <w:rFonts w:ascii="微软雅黑" w:hAnsi="微软雅黑"/>
          <w:color w:val="0066CC"/>
          <w:sz w:val="21"/>
          <w:u w:val="single"/>
        </w:rPr>
        <w:t>健康检查是推荐的</w:t>
      </w:r>
      <w:r>
        <w:rPr>
          <w:rFonts w:ascii="微软雅黑" w:hAnsi="微软雅黑"/>
          <w:sz w:val="21"/>
        </w:rPr>
        <w:t>。</w:t>
      </w:r>
    </w:p>
    <w:p>
      <w:r>
        <w:br w:type="page"/>
      </w:r>
    </w:p>
    <w:p>
      <w:pPr>
        <w:pStyle w:val="Heading1"/>
      </w:pPr>
      <w:r>
        <w:rPr>
          <w:rFonts w:ascii="微软雅黑" w:hAnsi="微软雅黑"/>
        </w:rPr>
        <w:t>媒体集（非结构化数据）</w:t>
      </w:r>
    </w:p>
    <w:p>
      <w:pPr>
        <w:spacing w:line="360" w:lineRule="auto" w:after="120"/>
      </w:pPr>
      <w:r>
        <w:rPr>
          <w:rFonts w:ascii="微软雅黑" w:hAnsi="微软雅黑"/>
          <w:sz w:val="21"/>
        </w:rPr>
        <w:t># 媒体集（非结构化数据）</w:t>
      </w:r>
    </w:p>
    <w:p>
      <w:pPr>
        <w:spacing w:line="360" w:lineRule="auto" w:after="120"/>
      </w:pPr>
      <w:r>
        <w:rPr>
          <w:rFonts w:ascii="微软雅黑" w:hAnsi="微软雅黑"/>
          <w:sz w:val="21"/>
        </w:rPr>
        <w:t>一个</w:t>
      </w:r>
      <w:r>
        <w:rPr>
          <w:rFonts w:ascii="微软雅黑" w:hAnsi="微软雅黑"/>
          <w:b/>
          <w:sz w:val="21"/>
        </w:rPr>
        <w:t>媒体集</w:t>
      </w:r>
      <w:r>
        <w:rPr>
          <w:rFonts w:ascii="微软雅黑" w:hAnsi="微软雅黑"/>
          <w:sz w:val="21"/>
        </w:rPr>
        <w:t>是具有共同模式的媒体文件的集合，例如相同格式的文件。媒体集旨在处理大规模的非结构化数据，并支持处理音频、图像、视频和文档等媒体项。媒体集支持灵活的存储、计算优化和模式特定的变换，以增强媒体工作流和管道。</w:t>
      </w:r>
    </w:p>
    <w:p>
      <w:pPr>
        <w:spacing w:after="40"/>
        <w:jc w:val="center"/>
      </w:pPr>
      <w:r>
        <w:rPr>
          <w:i/>
          <w:color w:val="646464"/>
          <w:sz w:val="18"/>
        </w:rPr>
        <w:t>图：媒体集支持导入音频、图像、视频和文档。</w:t>
      </w:r>
    </w:p>
    <w:p>
      <w:pPr>
        <w:spacing w:before="120" w:after="240"/>
        <w:jc w:val="center"/>
      </w:pPr>
      <w:r>
        <w:drawing>
          <wp:inline xmlns:a="http://schemas.openxmlformats.org/drawingml/2006/main" xmlns:pic="http://schemas.openxmlformats.org/drawingml/2006/picture">
            <wp:extent cx="5029200" cy="2825663"/>
            <wp:docPr id="41" name="Picture 41"/>
            <wp:cNvGraphicFramePr>
              <a:graphicFrameLocks noChangeAspect="1"/>
            </wp:cNvGraphicFramePr>
            <a:graphic>
              <a:graphicData uri="http://schemas.openxmlformats.org/drawingml/2006/picture">
                <pic:pic>
                  <pic:nvPicPr>
                    <pic:cNvPr id="0" name="mediasetsGA.png"/>
                    <pic:cNvPicPr/>
                  </pic:nvPicPr>
                  <pic:blipFill>
                    <a:blip r:embed="rId48"/>
                    <a:stretch>
                      <a:fillRect/>
                    </a:stretch>
                  </pic:blipFill>
                  <pic:spPr>
                    <a:xfrm>
                      <a:off x="0" y="0"/>
                      <a:ext cx="5029200" cy="2825663"/>
                    </a:xfrm>
                    <a:prstGeom prst="rect"/>
                  </pic:spPr>
                </pic:pic>
              </a:graphicData>
            </a:graphic>
          </wp:inline>
        </w:drawing>
      </w:r>
    </w:p>
    <w:p>
      <w:pPr>
        <w:spacing w:line="360" w:lineRule="auto" w:after="120"/>
      </w:pPr>
      <w:r>
        <w:rPr>
          <w:rFonts w:ascii="微软雅黑" w:hAnsi="微软雅黑"/>
          <w:sz w:val="21"/>
        </w:rPr>
        <w:t>媒体集工作流示例包括：</w:t>
      </w:r>
    </w:p>
    <w:p>
      <w:pPr>
        <w:pStyle w:val="ListBullet"/>
        <w:spacing w:line="360" w:lineRule="auto" w:after="120"/>
      </w:pPr>
      <w:r>
        <w:rPr>
          <w:rFonts w:ascii="微软雅黑" w:hAnsi="微软雅黑"/>
          <w:sz w:val="21"/>
        </w:rPr>
        <w:t>通过管道构建器从PDF中提取文本以支持内容分析</w:t>
      </w:r>
    </w:p>
    <w:p>
      <w:pPr>
        <w:pStyle w:val="ListBullet"/>
        <w:spacing w:line="360" w:lineRule="auto" w:after="120"/>
      </w:pPr>
      <w:r>
        <w:rPr>
          <w:rFonts w:ascii="微软雅黑" w:hAnsi="微软雅黑"/>
          <w:sz w:val="21"/>
        </w:rPr>
        <w:t>在地图应用中使用栅格切片（TIFF，NITF）进行地理空间分析</w:t>
      </w:r>
    </w:p>
    <w:p>
      <w:pPr>
        <w:pStyle w:val="ListBullet"/>
        <w:spacing w:line="360" w:lineRule="auto" w:after="120"/>
      </w:pPr>
      <w:r>
        <w:rPr>
          <w:rFonts w:ascii="微软雅黑" w:hAnsi="微软雅黑"/>
          <w:sz w:val="21"/>
        </w:rPr>
        <w:t>使用管道构建器处理医学影像文件（DICOM格式）</w:t>
      </w:r>
    </w:p>
    <w:p>
      <w:pPr>
        <w:spacing w:line="360" w:lineRule="auto" w:after="120"/>
      </w:pPr>
      <w:r>
        <w:rPr>
          <w:rFonts w:ascii="微软雅黑" w:hAnsi="微软雅黑"/>
          <w:sz w:val="21"/>
        </w:rPr>
        <w:t>要开始搭建管道，请按照以下步骤操作：</w:t>
      </w:r>
    </w:p>
    <w:p>
      <w:pPr>
        <w:pStyle w:val="ListBullet"/>
        <w:spacing w:line="360" w:lineRule="auto" w:after="120"/>
      </w:pPr>
      <w:r>
        <w:rPr>
          <w:rFonts w:ascii="微软雅黑" w:hAnsi="微软雅黑"/>
          <w:color w:val="0066CC"/>
          <w:sz w:val="21"/>
          <w:u w:val="single"/>
        </w:rPr>
        <w:t>导入媒体到Foundry</w:t>
      </w:r>
    </w:p>
    <w:p>
      <w:pPr>
        <w:pStyle w:val="ListBullet"/>
        <w:spacing w:line="360" w:lineRule="auto" w:after="120"/>
      </w:pPr>
      <w:r>
        <w:rPr>
          <w:rFonts w:ascii="微软雅黑" w:hAnsi="微软雅黑"/>
          <w:color w:val="0066CC"/>
          <w:sz w:val="21"/>
          <w:u w:val="single"/>
        </w:rPr>
        <w:t>通过代码仓库或管道构建器变换媒体</w:t>
      </w:r>
    </w:p>
    <w:p>
      <w:pPr>
        <w:pStyle w:val="ListBullet"/>
        <w:spacing w:line="360" w:lineRule="auto" w:after="120"/>
      </w:pPr>
      <w:r>
        <w:rPr>
          <w:rFonts w:ascii="微软雅黑" w:hAnsi="微软雅黑"/>
          <w:color w:val="0066CC"/>
          <w:sz w:val="21"/>
          <w:u w:val="single"/>
        </w:rPr>
        <w:t>将媒体本体化</w:t>
      </w:r>
    </w:p>
    <w:p>
      <w:pPr>
        <w:pStyle w:val="Heading2"/>
      </w:pPr>
      <w:r>
        <w:rPr>
          <w:rFonts w:ascii="微软雅黑" w:hAnsi="微软雅黑"/>
        </w:rPr>
        <w:t>支持的媒体集文件类型</w:t>
      </w:r>
    </w:p>
    <w:p>
      <w:pPr>
        <w:spacing w:line="360" w:lineRule="auto" w:after="120"/>
      </w:pPr>
      <w:r>
        <w:rPr>
          <w:rFonts w:ascii="微软雅黑" w:hAnsi="微软雅黑"/>
          <w:sz w:val="21"/>
        </w:rPr>
        <w:t>以下文件类型支持作为媒体集：</w:t>
      </w:r>
    </w:p>
    <w:p>
      <w:pPr>
        <w:pStyle w:val="ListBullet"/>
        <w:spacing w:line="360" w:lineRule="auto" w:after="120"/>
      </w:pPr>
      <w:r>
        <w:rPr>
          <w:rFonts w:ascii="微软雅黑" w:hAnsi="微软雅黑"/>
          <w:sz w:val="21"/>
        </w:rPr>
        <w:t>音频</w:t>
      </w:r>
    </w:p>
    <w:p>
      <w:pPr>
        <w:pStyle w:val="ListBullet"/>
        <w:spacing w:line="360" w:lineRule="auto" w:after="120"/>
      </w:pPr>
      <w:r>
        <w:rPr>
          <w:rFonts w:ascii="微软雅黑" w:hAnsi="微软雅黑"/>
          <w:sz w:val="21"/>
        </w:rPr>
        <w:t>WAV (</w:t>
      </w:r>
      <w:r>
        <w:rPr>
          <w:rFonts w:ascii="Consolas" w:hAnsi="Consolas"/>
          <w:color w:val="B43C3C"/>
          <w:sz w:val="18"/>
        </w:rPr>
        <w:t>.wav</w:t>
      </w:r>
      <w:r>
        <w:rPr>
          <w:rFonts w:ascii="微软雅黑" w:hAnsi="微软雅黑"/>
          <w:sz w:val="21"/>
        </w:rPr>
        <w:t>)</w:t>
      </w:r>
    </w:p>
    <w:p>
      <w:pPr>
        <w:pStyle w:val="ListBullet"/>
        <w:spacing w:line="360" w:lineRule="auto" w:after="120"/>
      </w:pPr>
      <w:r>
        <w:rPr>
          <w:rFonts w:ascii="微软雅黑" w:hAnsi="微软雅黑"/>
          <w:sz w:val="21"/>
        </w:rPr>
        <w:t>MP3 (</w:t>
      </w:r>
      <w:r>
        <w:rPr>
          <w:rFonts w:ascii="Consolas" w:hAnsi="Consolas"/>
          <w:color w:val="B43C3C"/>
          <w:sz w:val="18"/>
        </w:rPr>
        <w:t>.mp3</w:t>
      </w:r>
      <w:r>
        <w:rPr>
          <w:rFonts w:ascii="微软雅黑" w:hAnsi="微软雅黑"/>
          <w:sz w:val="21"/>
        </w:rPr>
        <w:t>)</w:t>
      </w:r>
    </w:p>
    <w:p>
      <w:pPr>
        <w:pStyle w:val="ListBullet"/>
        <w:spacing w:line="360" w:lineRule="auto" w:after="120"/>
      </w:pPr>
      <w:r>
        <w:rPr>
          <w:rFonts w:ascii="微软雅黑" w:hAnsi="微软雅黑"/>
          <w:sz w:val="21"/>
        </w:rPr>
        <w:t>NIST SPHERE (</w:t>
      </w:r>
      <w:r>
        <w:rPr>
          <w:rFonts w:ascii="Consolas" w:hAnsi="Consolas"/>
          <w:color w:val="B43C3C"/>
          <w:sz w:val="18"/>
        </w:rPr>
        <w:t>.sph</w:t>
      </w:r>
      <w:r>
        <w:rPr>
          <w:rFonts w:ascii="微软雅黑" w:hAnsi="微软雅黑"/>
          <w:sz w:val="21"/>
        </w:rPr>
        <w:t>)</w:t>
      </w:r>
    </w:p>
    <w:p>
      <w:pPr>
        <w:pStyle w:val="ListBullet"/>
        <w:spacing w:line="360" w:lineRule="auto" w:after="120"/>
      </w:pPr>
      <w:r>
        <w:rPr>
          <w:rFonts w:ascii="微软雅黑" w:hAnsi="微软雅黑"/>
          <w:sz w:val="21"/>
        </w:rPr>
        <w:t>FLAC (</w:t>
      </w:r>
      <w:r>
        <w:rPr>
          <w:rFonts w:ascii="Consolas" w:hAnsi="Consolas"/>
          <w:color w:val="B43C3C"/>
          <w:sz w:val="18"/>
        </w:rPr>
        <w:t>.flac</w:t>
      </w:r>
      <w:r>
        <w:rPr>
          <w:rFonts w:ascii="微软雅黑" w:hAnsi="微软雅黑"/>
          <w:sz w:val="21"/>
        </w:rPr>
        <w:t>)</w:t>
      </w:r>
    </w:p>
    <w:p>
      <w:pPr>
        <w:pStyle w:val="ListBullet"/>
        <w:spacing w:line="360" w:lineRule="auto" w:after="120"/>
      </w:pPr>
      <w:r>
        <w:rPr>
          <w:rFonts w:ascii="微软雅黑" w:hAnsi="微软雅黑"/>
          <w:sz w:val="21"/>
        </w:rPr>
        <w:t>文档</w:t>
      </w:r>
    </w:p>
    <w:p>
      <w:pPr>
        <w:pStyle w:val="ListBullet"/>
        <w:spacing w:line="360" w:lineRule="auto" w:after="120"/>
      </w:pPr>
      <w:r>
        <w:rPr>
          <w:rFonts w:ascii="微软雅黑" w:hAnsi="微软雅黑"/>
          <w:sz w:val="21"/>
        </w:rPr>
        <w:t>PDF (</w:t>
      </w:r>
      <w:r>
        <w:rPr>
          <w:rFonts w:ascii="Consolas" w:hAnsi="Consolas"/>
          <w:color w:val="B43C3C"/>
          <w:sz w:val="18"/>
        </w:rPr>
        <w:t>.pdf</w:t>
      </w:r>
      <w:r>
        <w:rPr>
          <w:rFonts w:ascii="微软雅黑" w:hAnsi="微软雅黑"/>
          <w:sz w:val="21"/>
        </w:rPr>
        <w:t>)\*</w:t>
      </w:r>
    </w:p>
    <w:p>
      <w:pPr>
        <w:pStyle w:val="ListBullet"/>
        <w:spacing w:line="360" w:lineRule="auto" w:after="120"/>
      </w:pPr>
      <w:r>
        <w:rPr>
          <w:rFonts w:ascii="微软雅黑" w:hAnsi="微软雅黑"/>
          <w:sz w:val="21"/>
        </w:rPr>
        <w:t>图像</w:t>
      </w:r>
    </w:p>
    <w:p>
      <w:pPr>
        <w:pStyle w:val="ListBullet"/>
        <w:spacing w:line="360" w:lineRule="auto" w:after="120"/>
      </w:pPr>
      <w:r>
        <w:rPr>
          <w:rFonts w:ascii="微软雅黑" w:hAnsi="微软雅黑"/>
          <w:sz w:val="21"/>
        </w:rPr>
        <w:t>PNG (</w:t>
      </w:r>
      <w:r>
        <w:rPr>
          <w:rFonts w:ascii="Consolas" w:hAnsi="Consolas"/>
          <w:color w:val="B43C3C"/>
          <w:sz w:val="18"/>
        </w:rPr>
        <w:t>.png</w:t>
      </w:r>
      <w:r>
        <w:rPr>
          <w:rFonts w:ascii="微软雅黑" w:hAnsi="微软雅黑"/>
          <w:sz w:val="21"/>
        </w:rPr>
        <w:t>)</w:t>
      </w:r>
    </w:p>
    <w:p>
      <w:pPr>
        <w:pStyle w:val="ListBullet"/>
        <w:spacing w:line="360" w:lineRule="auto" w:after="120"/>
      </w:pPr>
      <w:r>
        <w:rPr>
          <w:rFonts w:ascii="微软雅黑" w:hAnsi="微软雅黑"/>
          <w:sz w:val="21"/>
        </w:rPr>
        <w:t>JPEG (</w:t>
      </w:r>
      <w:r>
        <w:rPr>
          <w:rFonts w:ascii="Consolas" w:hAnsi="Consolas"/>
          <w:color w:val="B43C3C"/>
          <w:sz w:val="18"/>
        </w:rPr>
        <w:t>.jpg</w:t>
      </w:r>
      <w:r>
        <w:rPr>
          <w:rFonts w:ascii="微软雅黑" w:hAnsi="微软雅黑"/>
          <w:sz w:val="21"/>
        </w:rPr>
        <w:t xml:space="preserve">, </w:t>
      </w:r>
      <w:r>
        <w:rPr>
          <w:rFonts w:ascii="Consolas" w:hAnsi="Consolas"/>
          <w:color w:val="B43C3C"/>
          <w:sz w:val="18"/>
        </w:rPr>
        <w:t>.jpeg</w:t>
      </w:r>
      <w:r>
        <w:rPr>
          <w:rFonts w:ascii="微软雅黑" w:hAnsi="微软雅黑"/>
          <w:sz w:val="21"/>
        </w:rPr>
        <w:t>)</w:t>
      </w:r>
    </w:p>
    <w:p>
      <w:pPr>
        <w:pStyle w:val="ListBullet"/>
        <w:spacing w:line="360" w:lineRule="auto" w:after="120"/>
      </w:pPr>
      <w:r>
        <w:rPr>
          <w:rFonts w:ascii="微软雅黑" w:hAnsi="微软雅黑"/>
          <w:sz w:val="21"/>
        </w:rPr>
        <w:t>JP2K (</w:t>
      </w:r>
      <w:r>
        <w:rPr>
          <w:rFonts w:ascii="Consolas" w:hAnsi="Consolas"/>
          <w:color w:val="B43C3C"/>
          <w:sz w:val="18"/>
        </w:rPr>
        <w:t>.jp2</w:t>
      </w:r>
      <w:r>
        <w:rPr>
          <w:rFonts w:ascii="微软雅黑" w:hAnsi="微软雅黑"/>
          <w:sz w:val="21"/>
        </w:rPr>
        <w:t>)</w:t>
      </w:r>
    </w:p>
    <w:p>
      <w:pPr>
        <w:pStyle w:val="ListBullet"/>
        <w:spacing w:line="360" w:lineRule="auto" w:after="120"/>
      </w:pPr>
      <w:r>
        <w:rPr>
          <w:rFonts w:ascii="微软雅黑" w:hAnsi="微软雅黑"/>
          <w:sz w:val="21"/>
        </w:rPr>
        <w:t>BMP (</w:t>
      </w:r>
      <w:r>
        <w:rPr>
          <w:rFonts w:ascii="Consolas" w:hAnsi="Consolas"/>
          <w:color w:val="B43C3C"/>
          <w:sz w:val="18"/>
        </w:rPr>
        <w:t>.bmp</w:t>
      </w:r>
      <w:r>
        <w:rPr>
          <w:rFonts w:ascii="微软雅黑" w:hAnsi="微软雅黑"/>
          <w:sz w:val="21"/>
        </w:rPr>
        <w:t>)</w:t>
      </w:r>
    </w:p>
    <w:p>
      <w:pPr>
        <w:pStyle w:val="ListBullet"/>
        <w:spacing w:line="360" w:lineRule="auto" w:after="120"/>
      </w:pPr>
      <w:r>
        <w:rPr>
          <w:rFonts w:ascii="微软雅黑" w:hAnsi="微软雅黑"/>
          <w:sz w:val="21"/>
        </w:rPr>
        <w:t>TIFF (</w:t>
      </w:r>
      <w:r>
        <w:rPr>
          <w:rFonts w:ascii="Consolas" w:hAnsi="Consolas"/>
          <w:color w:val="B43C3C"/>
          <w:sz w:val="18"/>
        </w:rPr>
        <w:t>.tiff</w:t>
      </w:r>
      <w:r>
        <w:rPr>
          <w:rFonts w:ascii="微软雅黑" w:hAnsi="微软雅黑"/>
          <w:sz w:val="21"/>
        </w:rPr>
        <w:t xml:space="preserve">, </w:t>
      </w:r>
      <w:r>
        <w:rPr>
          <w:rFonts w:ascii="Consolas" w:hAnsi="Consolas"/>
          <w:color w:val="B43C3C"/>
          <w:sz w:val="18"/>
        </w:rPr>
        <w:t>.tif</w:t>
      </w:r>
      <w:r>
        <w:rPr>
          <w:rFonts w:ascii="微软雅黑" w:hAnsi="微软雅黑"/>
          <w:sz w:val="21"/>
        </w:rPr>
        <w:t>)</w:t>
      </w:r>
    </w:p>
    <w:p>
      <w:pPr>
        <w:pStyle w:val="ListBullet"/>
        <w:spacing w:line="360" w:lineRule="auto" w:after="120"/>
      </w:pPr>
      <w:r>
        <w:rPr>
          <w:rFonts w:ascii="微软雅黑" w:hAnsi="微软雅黑"/>
          <w:sz w:val="21"/>
        </w:rPr>
        <w:t>NITF (</w:t>
      </w:r>
      <w:r>
        <w:rPr>
          <w:rFonts w:ascii="Consolas" w:hAnsi="Consolas"/>
          <w:color w:val="B43C3C"/>
          <w:sz w:val="18"/>
        </w:rPr>
        <w:t>.nitf</w:t>
      </w:r>
      <w:r>
        <w:rPr>
          <w:rFonts w:ascii="微软雅黑" w:hAnsi="微软雅黑"/>
          <w:sz w:val="21"/>
        </w:rPr>
        <w:t>)</w:t>
      </w:r>
    </w:p>
    <w:p>
      <w:pPr>
        <w:pStyle w:val="ListBullet"/>
        <w:spacing w:line="360" w:lineRule="auto" w:after="120"/>
      </w:pPr>
      <w:r>
        <w:rPr>
          <w:rFonts w:ascii="微软雅黑" w:hAnsi="微软雅黑"/>
          <w:sz w:val="21"/>
        </w:rPr>
        <w:t>DICOM (</w:t>
      </w:r>
      <w:r>
        <w:rPr>
          <w:rFonts w:ascii="Consolas" w:hAnsi="Consolas"/>
          <w:color w:val="B43C3C"/>
          <w:sz w:val="18"/>
        </w:rPr>
        <w:t>.dcm</w:t>
      </w:r>
      <w:r>
        <w:rPr>
          <w:rFonts w:ascii="微软雅黑" w:hAnsi="微软雅黑"/>
          <w:sz w:val="21"/>
        </w:rPr>
        <w:t>)</w:t>
      </w:r>
    </w:p>
    <w:p>
      <w:pPr>
        <w:pStyle w:val="ListBullet"/>
        <w:spacing w:line="360" w:lineRule="auto" w:after="120"/>
      </w:pPr>
      <w:r>
        <w:rPr>
          <w:rFonts w:ascii="微软雅黑" w:hAnsi="微软雅黑"/>
          <w:sz w:val="21"/>
        </w:rPr>
        <w:t>视频</w:t>
      </w:r>
    </w:p>
    <w:p>
      <w:pPr>
        <w:pStyle w:val="ListBullet"/>
        <w:spacing w:line="360" w:lineRule="auto" w:after="120"/>
      </w:pPr>
      <w:r>
        <w:rPr>
          <w:rFonts w:ascii="微软雅黑" w:hAnsi="微软雅黑"/>
          <w:sz w:val="21"/>
        </w:rPr>
        <w:t>MP4 (</w:t>
      </w:r>
      <w:r>
        <w:rPr>
          <w:rFonts w:ascii="Consolas" w:hAnsi="Consolas"/>
          <w:color w:val="B43C3C"/>
          <w:sz w:val="18"/>
        </w:rPr>
        <w:t>.mp4</w:t>
      </w:r>
      <w:r>
        <w:rPr>
          <w:rFonts w:ascii="微软雅黑" w:hAnsi="微软雅黑"/>
          <w:sz w:val="21"/>
        </w:rPr>
        <w:t>)</w:t>
      </w:r>
    </w:p>
    <w:p>
      <w:pPr>
        <w:pStyle w:val="ListBullet"/>
        <w:spacing w:line="360" w:lineRule="auto" w:after="120"/>
      </w:pPr>
      <w:r>
        <w:rPr>
          <w:rFonts w:ascii="微软雅黑" w:hAnsi="微软雅黑"/>
          <w:sz w:val="21"/>
        </w:rPr>
        <w:t>MOV (</w:t>
      </w:r>
      <w:r>
        <w:rPr>
          <w:rFonts w:ascii="Consolas" w:hAnsi="Consolas"/>
          <w:color w:val="B43C3C"/>
          <w:sz w:val="18"/>
        </w:rPr>
        <w:t>.mov</w:t>
      </w:r>
      <w:r>
        <w:rPr>
          <w:rFonts w:ascii="微软雅黑" w:hAnsi="微软雅黑"/>
          <w:sz w:val="21"/>
        </w:rPr>
        <w:t>)</w:t>
      </w:r>
    </w:p>
    <w:p>
      <w:pPr>
        <w:pStyle w:val="ListBullet"/>
        <w:spacing w:line="360" w:lineRule="auto" w:after="120"/>
      </w:pPr>
      <w:r>
        <w:rPr>
          <w:rFonts w:ascii="微软雅黑" w:hAnsi="微软雅黑"/>
          <w:sz w:val="21"/>
        </w:rPr>
        <w:t>TS (</w:t>
      </w:r>
      <w:r>
        <w:rPr>
          <w:rFonts w:ascii="Consolas" w:hAnsi="Consolas"/>
          <w:color w:val="B43C3C"/>
          <w:sz w:val="18"/>
        </w:rPr>
        <w:t>.ts</w:t>
      </w:r>
      <w:r>
        <w:rPr>
          <w:rFonts w:ascii="微软雅黑" w:hAnsi="微软雅黑"/>
          <w:sz w:val="21"/>
        </w:rPr>
        <w:t>)</w:t>
      </w:r>
    </w:p>
    <w:p>
      <w:pPr>
        <w:spacing w:line="360" w:lineRule="auto" w:after="120"/>
      </w:pPr>
      <w:r>
        <w:rPr>
          <w:rFonts w:ascii="微软雅黑" w:hAnsi="微软雅黑"/>
          <w:sz w:val="21"/>
        </w:rPr>
        <w:t>需要专有功能查看或受密码、数字签名或加密保护的PDF文件不支持。</w:t>
      </w:r>
    </w:p>
    <w:p>
      <w:pPr>
        <w:pStyle w:val="Heading2"/>
      </w:pPr>
      <w:r>
        <w:rPr>
          <w:rFonts w:ascii="微软雅黑" w:hAnsi="微软雅黑"/>
        </w:rPr>
        <w:t>导入媒体</w:t>
      </w:r>
    </w:p>
    <w:p>
      <w:pPr>
        <w:spacing w:line="360" w:lineRule="auto" w:after="120"/>
      </w:pPr>
      <w:r>
        <w:rPr>
          <w:rFonts w:ascii="微软雅黑" w:hAnsi="微软雅黑"/>
          <w:sz w:val="21"/>
        </w:rPr>
        <w:t>可以通过</w:t>
      </w:r>
      <w:r>
        <w:rPr>
          <w:rFonts w:ascii="微软雅黑" w:hAnsi="微软雅黑"/>
          <w:color w:val="0066CC"/>
          <w:sz w:val="21"/>
          <w:u w:val="single"/>
        </w:rPr>
        <w:t>直接上传</w:t>
      </w:r>
      <w:r>
        <w:rPr>
          <w:rFonts w:ascii="微软雅黑" w:hAnsi="微软雅黑"/>
          <w:sz w:val="21"/>
        </w:rPr>
        <w:t>、在数据连接中与外部源系统的连接、API发布和变换（包括</w:t>
      </w:r>
      <w:r>
        <w:rPr>
          <w:rFonts w:ascii="微软雅黑" w:hAnsi="微软雅黑"/>
          <w:color w:val="0066CC"/>
          <w:sz w:val="21"/>
          <w:u w:val="single"/>
        </w:rPr>
        <w:t>外部变换</w:t>
      </w:r>
      <w:r>
        <w:rPr>
          <w:rFonts w:ascii="微软雅黑" w:hAnsi="微软雅黑"/>
          <w:sz w:val="21"/>
        </w:rPr>
        <w:t>）配置媒体集以进行导入。</w:t>
      </w:r>
    </w:p>
    <w:p>
      <w:pPr>
        <w:pStyle w:val="Heading3"/>
      </w:pPr>
      <w:r>
        <w:rPr>
          <w:rFonts w:ascii="微软雅黑" w:hAnsi="微软雅黑"/>
        </w:rPr>
        <w:t>直接上传</w:t>
      </w:r>
    </w:p>
    <w:p>
      <w:pPr>
        <w:spacing w:line="360" w:lineRule="auto" w:after="120"/>
      </w:pPr>
      <w:r>
        <w:rPr>
          <w:rFonts w:ascii="微软雅黑" w:hAnsi="微软雅黑"/>
          <w:sz w:val="21"/>
        </w:rPr>
        <w:t>要通过直接上传将媒体文件导入媒体集，请将文件拖放到您的新媒体集中。文件必须符合创建媒体集时指定的预期文件类型才能上传到媒体集。</w:t>
      </w:r>
    </w:p>
    <w:p>
      <w:pPr>
        <w:pStyle w:val="ListNumber"/>
        <w:spacing w:line="360" w:lineRule="auto" w:after="120"/>
      </w:pPr>
      <w:r>
        <w:rPr>
          <w:rFonts w:ascii="微软雅黑" w:hAnsi="微软雅黑"/>
          <w:sz w:val="21"/>
        </w:rPr>
        <w:t>首先，通过在项目中选择</w:t>
      </w:r>
      <w:r>
        <w:rPr>
          <w:rFonts w:ascii="微软雅黑" w:hAnsi="微软雅黑"/>
          <w:b/>
          <w:sz w:val="21"/>
        </w:rPr>
        <w:t>新建</w:t>
      </w:r>
      <w:r>
        <w:rPr>
          <w:rFonts w:ascii="微软雅黑" w:hAnsi="微软雅黑"/>
          <w:sz w:val="21"/>
        </w:rPr>
        <w:t>并从搜索栏中选择</w:t>
      </w:r>
      <w:r>
        <w:rPr>
          <w:rFonts w:ascii="Consolas" w:hAnsi="Consolas"/>
          <w:color w:val="B43C3C"/>
          <w:sz w:val="18"/>
        </w:rPr>
        <w:t>媒体集</w:t>
      </w:r>
      <w:r>
        <w:rPr>
          <w:rFonts w:ascii="微软雅黑" w:hAnsi="微软雅黑"/>
          <w:sz w:val="21"/>
        </w:rPr>
        <w:t>来创建一个新的媒体集，如下所示。</w:t>
      </w:r>
    </w:p>
    <w:p>
      <w:pPr>
        <w:spacing w:after="40"/>
        <w:jc w:val="center"/>
      </w:pPr>
      <w:r>
        <w:rPr>
          <w:i/>
          <w:color w:val="646464"/>
          <w:sz w:val="18"/>
        </w:rPr>
        <w:t>图：从项目创建媒体集</w:t>
      </w:r>
    </w:p>
    <w:p>
      <w:pPr>
        <w:spacing w:before="120" w:after="240"/>
        <w:jc w:val="center"/>
      </w:pPr>
      <w:r>
        <w:drawing>
          <wp:inline xmlns:a="http://schemas.openxmlformats.org/drawingml/2006/main" xmlns:pic="http://schemas.openxmlformats.org/drawingml/2006/picture">
            <wp:extent cx="4665424" cy="4114800"/>
            <wp:docPr id="42" name="Picture 42"/>
            <wp:cNvGraphicFramePr>
              <a:graphicFrameLocks noChangeAspect="1"/>
            </wp:cNvGraphicFramePr>
            <a:graphic>
              <a:graphicData uri="http://schemas.openxmlformats.org/drawingml/2006/picture">
                <pic:pic>
                  <pic:nvPicPr>
                    <pic:cNvPr id="0" name="project-add-media-set-dialog.png"/>
                    <pic:cNvPicPr/>
                  </pic:nvPicPr>
                  <pic:blipFill>
                    <a:blip r:embed="rId49"/>
                    <a:stretch>
                      <a:fillRect/>
                    </a:stretch>
                  </pic:blipFill>
                  <pic:spPr>
                    <a:xfrm>
                      <a:off x="0" y="0"/>
                      <a:ext cx="4665424" cy="4114800"/>
                    </a:xfrm>
                    <a:prstGeom prst="rect"/>
                  </pic:spPr>
                </pic:pic>
              </a:graphicData>
            </a:graphic>
          </wp:inline>
        </w:drawing>
      </w:r>
    </w:p>
    <w:p>
      <w:pPr>
        <w:pStyle w:val="ListNumber"/>
        <w:spacing w:line="360" w:lineRule="auto" w:after="120"/>
      </w:pPr>
      <w:r>
        <w:rPr>
          <w:rFonts w:ascii="微软雅黑" w:hAnsi="微软雅黑"/>
          <w:sz w:val="21"/>
        </w:rPr>
        <w:t>接下来，为新的媒体集选择所需的媒体文件类型，然后选择</w:t>
      </w:r>
      <w:r>
        <w:rPr>
          <w:rFonts w:ascii="微软雅黑" w:hAnsi="微软雅黑"/>
          <w:b/>
          <w:sz w:val="21"/>
        </w:rPr>
        <w:t>创建媒体集</w:t>
      </w:r>
      <w:r>
        <w:rPr>
          <w:rFonts w:ascii="微软雅黑" w:hAnsi="微软雅黑"/>
          <w:sz w:val="21"/>
        </w:rPr>
        <w:t>。</w:t>
      </w:r>
    </w:p>
    <w:p>
      <w:pPr>
        <w:spacing w:after="40"/>
        <w:jc w:val="center"/>
      </w:pPr>
      <w:r>
        <w:rPr>
          <w:i/>
          <w:color w:val="646464"/>
          <w:sz w:val="18"/>
        </w:rPr>
        <w:t>图：选择媒体文件类型</w:t>
      </w:r>
    </w:p>
    <w:p>
      <w:pPr>
        <w:spacing w:before="120" w:after="240"/>
        <w:jc w:val="center"/>
      </w:pPr>
      <w:r>
        <w:drawing>
          <wp:inline xmlns:a="http://schemas.openxmlformats.org/drawingml/2006/main" xmlns:pic="http://schemas.openxmlformats.org/drawingml/2006/picture">
            <wp:extent cx="5029200" cy="3300000"/>
            <wp:docPr id="43" name="Picture 43"/>
            <wp:cNvGraphicFramePr>
              <a:graphicFrameLocks noChangeAspect="1"/>
            </wp:cNvGraphicFramePr>
            <a:graphic>
              <a:graphicData uri="http://schemas.openxmlformats.org/drawingml/2006/picture">
                <pic:pic>
                  <pic:nvPicPr>
                    <pic:cNvPr id="0" name="add-media-set-welcome-page.png"/>
                    <pic:cNvPicPr/>
                  </pic:nvPicPr>
                  <pic:blipFill>
                    <a:blip r:embed="rId50"/>
                    <a:stretch>
                      <a:fillRect/>
                    </a:stretch>
                  </pic:blipFill>
                  <pic:spPr>
                    <a:xfrm>
                      <a:off x="0" y="0"/>
                      <a:ext cx="5029200" cy="3300000"/>
                    </a:xfrm>
                    <a:prstGeom prst="rect"/>
                  </pic:spPr>
                </pic:pic>
              </a:graphicData>
            </a:graphic>
          </wp:inline>
        </w:drawing>
      </w:r>
    </w:p>
    <w:p>
      <w:pPr>
        <w:pStyle w:val="ListNumber"/>
        <w:spacing w:line="360" w:lineRule="auto" w:after="120"/>
      </w:pPr>
      <w:r>
        <w:rPr>
          <w:rFonts w:ascii="微软雅黑" w:hAnsi="微软雅黑"/>
          <w:sz w:val="21"/>
        </w:rPr>
        <w:t>创建媒体集后，可以通过将媒体拖放到空的媒体集上或选择</w:t>
      </w:r>
      <w:r>
        <w:rPr>
          <w:rFonts w:ascii="微软雅黑" w:hAnsi="微软雅黑"/>
          <w:b/>
          <w:sz w:val="21"/>
        </w:rPr>
        <w:t>从计算机中选择</w:t>
      </w:r>
      <w:r>
        <w:rPr>
          <w:rFonts w:ascii="微软雅黑" w:hAnsi="微软雅黑"/>
          <w:sz w:val="21"/>
        </w:rPr>
        <w:t>提示上传媒体。</w:t>
      </w:r>
    </w:p>
    <w:p>
      <w:pPr>
        <w:spacing w:after="40"/>
        <w:jc w:val="center"/>
      </w:pPr>
      <w:r>
        <w:rPr>
          <w:i/>
          <w:color w:val="646464"/>
          <w:sz w:val="18"/>
        </w:rPr>
        <w:t>图：从空媒体集上传</w:t>
      </w:r>
    </w:p>
    <w:p>
      <w:pPr>
        <w:spacing w:before="120" w:after="240"/>
        <w:jc w:val="center"/>
      </w:pPr>
      <w:r>
        <w:drawing>
          <wp:inline xmlns:a="http://schemas.openxmlformats.org/drawingml/2006/main" xmlns:pic="http://schemas.openxmlformats.org/drawingml/2006/picture">
            <wp:extent cx="5029200" cy="3328488"/>
            <wp:docPr id="44" name="Picture 44"/>
            <wp:cNvGraphicFramePr>
              <a:graphicFrameLocks noChangeAspect="1"/>
            </wp:cNvGraphicFramePr>
            <a:graphic>
              <a:graphicData uri="http://schemas.openxmlformats.org/drawingml/2006/picture">
                <pic:pic>
                  <pic:nvPicPr>
                    <pic:cNvPr id="0" name="empty-media-set-action.png"/>
                    <pic:cNvPicPr/>
                  </pic:nvPicPr>
                  <pic:blipFill>
                    <a:blip r:embed="rId51"/>
                    <a:stretch>
                      <a:fillRect/>
                    </a:stretch>
                  </pic:blipFill>
                  <pic:spPr>
                    <a:xfrm>
                      <a:off x="0" y="0"/>
                      <a:ext cx="5029200" cy="3328488"/>
                    </a:xfrm>
                    <a:prstGeom prst="rect"/>
                  </pic:spPr>
                </pic:pic>
              </a:graphicData>
            </a:graphic>
          </wp:inline>
        </w:drawing>
      </w:r>
    </w:p>
    <w:p>
      <w:pPr>
        <w:pStyle w:val="Heading3"/>
      </w:pPr>
      <w:r>
        <w:rPr>
          <w:rFonts w:ascii="微软雅黑" w:hAnsi="微软雅黑"/>
        </w:rPr>
        <w:t>数据连接</w:t>
      </w:r>
    </w:p>
    <w:p>
      <w:pPr>
        <w:spacing w:line="360" w:lineRule="auto" w:after="120"/>
      </w:pPr>
      <w:r>
        <w:rPr>
          <w:rFonts w:ascii="微软雅黑" w:hAnsi="微软雅黑"/>
          <w:sz w:val="21"/>
        </w:rPr>
        <w:t>可以使用数据连接与外部源的同步导入媒体集。在</w:t>
      </w:r>
      <w:r>
        <w:rPr>
          <w:rFonts w:ascii="微软雅黑" w:hAnsi="微软雅黑"/>
          <w:color w:val="0066CC"/>
          <w:sz w:val="21"/>
          <w:u w:val="single"/>
        </w:rPr>
        <w:t>媒体集同步文档</w:t>
      </w:r>
      <w:r>
        <w:rPr>
          <w:rFonts w:ascii="微软雅黑" w:hAnsi="微软雅黑"/>
          <w:sz w:val="21"/>
        </w:rPr>
        <w:t>中可以找到详细的操作步骤。</w:t>
      </w:r>
    </w:p>
    <w:p>
      <w:pPr>
        <w:spacing w:line="360" w:lineRule="auto" w:after="120"/>
      </w:pPr>
      <w:r>
        <w:rPr>
          <w:rFonts w:ascii="微软雅黑" w:hAnsi="微软雅黑"/>
          <w:sz w:val="21"/>
        </w:rPr>
        <w:t>要创建新的媒体集</w:t>
      </w:r>
      <w:r>
        <w:rPr>
          <w:rFonts w:ascii="微软雅黑" w:hAnsi="微软雅黑"/>
          <w:color w:val="0066CC"/>
          <w:sz w:val="21"/>
          <w:u w:val="single"/>
        </w:rPr>
        <w:t>同步</w:t>
      </w:r>
      <w:r>
        <w:rPr>
          <w:rFonts w:ascii="微软雅黑" w:hAnsi="微软雅黑"/>
          <w:sz w:val="21"/>
        </w:rPr>
        <w:t>，请导航到所需</w:t>
      </w:r>
      <w:r>
        <w:rPr>
          <w:rFonts w:ascii="微软雅黑" w:hAnsi="微软雅黑"/>
          <w:color w:val="0066CC"/>
          <w:sz w:val="21"/>
          <w:u w:val="single"/>
        </w:rPr>
        <w:t>源</w:t>
      </w:r>
      <w:r>
        <w:rPr>
          <w:rFonts w:ascii="微软雅黑" w:hAnsi="微软雅黑"/>
          <w:sz w:val="21"/>
        </w:rPr>
        <w:t>的</w:t>
      </w:r>
      <w:r>
        <w:rPr>
          <w:rFonts w:ascii="微软雅黑" w:hAnsi="微软雅黑"/>
          <w:b/>
          <w:sz w:val="21"/>
        </w:rPr>
        <w:t>概览</w:t>
      </w:r>
      <w:r>
        <w:rPr>
          <w:rFonts w:ascii="微软雅黑" w:hAnsi="微软雅黑"/>
          <w:sz w:val="21"/>
        </w:rPr>
        <w:t>选项卡。</w:t>
      </w:r>
    </w:p>
    <w:p>
      <w:pPr>
        <w:spacing w:line="360" w:lineRule="auto" w:after="120"/>
      </w:pPr>
      <w:r>
        <w:rPr>
          <w:rFonts w:ascii="微软雅黑" w:hAnsi="微软雅黑"/>
          <w:sz w:val="21"/>
        </w:rPr>
        <w:t>创建同步后，在媒体集视图中触发搭建以使媒体出现在您的媒体集中。</w:t>
      </w:r>
    </w:p>
    <w:p>
      <w:pPr>
        <w:spacing w:line="360" w:lineRule="auto" w:after="120"/>
      </w:pPr>
      <w:r>
        <w:rPr>
          <w:rFonts w:ascii="微软雅黑" w:hAnsi="微软雅黑"/>
          <w:sz w:val="21"/>
        </w:rPr>
        <w:t>您也可以通过</w:t>
      </w:r>
      <w:r>
        <w:rPr>
          <w:rFonts w:ascii="微软雅黑" w:hAnsi="微软雅黑"/>
          <w:b/>
          <w:sz w:val="21"/>
        </w:rPr>
        <w:t>选择源</w:t>
      </w:r>
      <w:r>
        <w:rPr>
          <w:rFonts w:ascii="微软雅黑" w:hAnsi="微软雅黑"/>
          <w:sz w:val="21"/>
        </w:rPr>
        <w:t>选项将现有源连接到新的媒体集中。</w:t>
      </w:r>
    </w:p>
    <w:p>
      <w:pPr>
        <w:spacing w:after="40"/>
        <w:jc w:val="center"/>
      </w:pPr>
      <w:r>
        <w:rPr>
          <w:i/>
          <w:color w:val="646464"/>
          <w:sz w:val="18"/>
        </w:rPr>
        <w:t>图：将现有源添加到媒体集</w:t>
      </w:r>
    </w:p>
    <w:p>
      <w:pPr>
        <w:spacing w:before="120" w:after="240"/>
        <w:jc w:val="center"/>
      </w:pPr>
      <w:r>
        <w:drawing>
          <wp:inline xmlns:a="http://schemas.openxmlformats.org/drawingml/2006/main" xmlns:pic="http://schemas.openxmlformats.org/drawingml/2006/picture">
            <wp:extent cx="5029200" cy="1049400"/>
            <wp:docPr id="45" name="Picture 45"/>
            <wp:cNvGraphicFramePr>
              <a:graphicFrameLocks noChangeAspect="1"/>
            </wp:cNvGraphicFramePr>
            <a:graphic>
              <a:graphicData uri="http://schemas.openxmlformats.org/drawingml/2006/picture">
                <pic:pic>
                  <pic:nvPicPr>
                    <pic:cNvPr id="0" name="add-media-set-welcome-page-add-source.png"/>
                    <pic:cNvPicPr/>
                  </pic:nvPicPr>
                  <pic:blipFill>
                    <a:blip r:embed="rId52"/>
                    <a:stretch>
                      <a:fillRect/>
                    </a:stretch>
                  </pic:blipFill>
                  <pic:spPr>
                    <a:xfrm>
                      <a:off x="0" y="0"/>
                      <a:ext cx="5029200" cy="1049400"/>
                    </a:xfrm>
                    <a:prstGeom prst="rect"/>
                  </pic:spPr>
                </pic:pic>
              </a:graphicData>
            </a:graphic>
          </wp:inline>
        </w:drawing>
      </w:r>
    </w:p>
    <w:p>
      <w:pPr>
        <w:spacing w:line="360" w:lineRule="auto" w:after="120"/>
      </w:pPr>
      <w:r>
        <w:rPr>
          <w:rFonts w:ascii="微软雅黑" w:hAnsi="微软雅黑"/>
          <w:sz w:val="21"/>
        </w:rPr>
        <w:t>#### 虚拟存储</w:t>
      </w:r>
    </w:p>
    <w:p>
      <w:pPr>
        <w:spacing w:line="360" w:lineRule="auto" w:after="120"/>
      </w:pPr>
      <w:r>
        <w:rPr>
          <w:rFonts w:ascii="微软雅黑" w:hAnsi="微软雅黑"/>
          <w:sz w:val="21"/>
        </w:rPr>
        <w:t>对于支持的源类型，媒体集可以选择配置为直接从外部源系统读取，因此无需将数据复制到Foundry的后台存储中（“虚拟媒体集”）。</w:t>
      </w:r>
    </w:p>
    <w:p>
      <w:pPr>
        <w:spacing w:line="360" w:lineRule="auto" w:after="120"/>
      </w:pPr>
      <w:r>
        <w:rPr>
          <w:rFonts w:ascii="微软雅黑" w:hAnsi="微软雅黑"/>
          <w:sz w:val="21"/>
        </w:rPr>
        <w:t>目前，虚拟媒体集仅支持某些源类型。如果您对其他源类型的虚拟存储感兴趣，请联系Palantir支持。</w:t>
      </w:r>
    </w:p>
    <w:p>
      <w:pPr>
        <w:spacing w:after="40"/>
        <w:jc w:val="center"/>
      </w:pPr>
      <w:r>
        <w:rPr>
          <w:i/>
          <w:color w:val="646464"/>
          <w:sz w:val="18"/>
        </w:rPr>
        <w:t>图：存储策略</w:t>
      </w:r>
    </w:p>
    <w:p>
      <w:pPr>
        <w:jc w:val="center"/>
      </w:pPr>
      <w:r>
        <w:rPr>
          <w:i/>
          <w:color w:val="FF6464"/>
          <w:sz w:val="18"/>
        </w:rPr>
        <w:t>[图片未找到：/resources/foundry/data-integration/media-set-storage-policy.png]</w:t>
      </w:r>
    </w:p>
    <w:p>
      <w:pPr>
        <w:pStyle w:val="Heading3"/>
      </w:pPr>
      <w:r>
        <w:rPr>
          <w:rFonts w:ascii="微软雅黑" w:hAnsi="微软雅黑"/>
        </w:rPr>
        <w:t>外部变换</w:t>
      </w:r>
    </w:p>
    <w:p>
      <w:pPr>
        <w:spacing w:line="360" w:lineRule="auto" w:after="120"/>
      </w:pPr>
      <w:r>
        <w:rPr>
          <w:rFonts w:ascii="微软雅黑" w:hAnsi="微软雅黑"/>
          <w:sz w:val="21"/>
        </w:rPr>
        <w:t>对于具有REST API的源，可以通过</w:t>
      </w:r>
      <w:r>
        <w:rPr>
          <w:rFonts w:ascii="微软雅黑" w:hAnsi="微软雅黑"/>
          <w:color w:val="0066CC"/>
          <w:sz w:val="21"/>
          <w:u w:val="single"/>
        </w:rPr>
        <w:t>外部变换</w:t>
      </w:r>
      <w:r>
        <w:rPr>
          <w:rFonts w:ascii="微软雅黑" w:hAnsi="微软雅黑"/>
          <w:sz w:val="21"/>
        </w:rPr>
        <w:t>将媒体导入媒体集。</w:t>
      </w:r>
    </w:p>
    <w:p>
      <w:pPr>
        <w:pStyle w:val="Heading3"/>
      </w:pPr>
      <w:r>
        <w:rPr>
          <w:rFonts w:ascii="微软雅黑" w:hAnsi="微软雅黑"/>
        </w:rPr>
        <w:t>管道构建器</w:t>
      </w:r>
    </w:p>
    <w:p>
      <w:pPr>
        <w:spacing w:line="360" w:lineRule="auto" w:after="120"/>
      </w:pPr>
      <w:r>
        <w:rPr>
          <w:rFonts w:ascii="微软雅黑" w:hAnsi="微软雅黑"/>
          <w:sz w:val="21"/>
        </w:rPr>
        <w:t>媒体集也可以直接导入到管道构建器中。</w:t>
      </w:r>
      <w:r>
        <w:rPr>
          <w:rFonts w:ascii="微软雅黑" w:hAnsi="微软雅黑"/>
          <w:color w:val="0066CC"/>
          <w:sz w:val="21"/>
          <w:u w:val="single"/>
        </w:rPr>
        <w:t>了解在管道构建器中可用的上传方法。</w:t>
      </w:r>
    </w:p>
    <w:p>
      <w:pPr>
        <w:pStyle w:val="Heading2"/>
      </w:pPr>
      <w:r>
        <w:rPr>
          <w:rFonts w:ascii="微软雅黑" w:hAnsi="微软雅黑"/>
        </w:rPr>
        <w:t>保留策略</w:t>
      </w:r>
    </w:p>
    <w:p>
      <w:pPr>
        <w:spacing w:line="360" w:lineRule="auto" w:after="120"/>
      </w:pPr>
      <w:r>
        <w:rPr>
          <w:rFonts w:ascii="微软雅黑" w:hAnsi="微软雅黑"/>
          <w:sz w:val="21"/>
        </w:rPr>
        <w:t>您可以为媒体集配置基于时间的保留策略，例如14天，以便不需要永久存在的数据。媒体项仅在保留窗口内可访问，之后将被永久删除。这是一个有助于最小化存储成本的选项。</w:t>
      </w:r>
    </w:p>
    <w:p>
      <w:pPr>
        <w:spacing w:line="360" w:lineRule="auto" w:after="120"/>
      </w:pPr>
      <w:r>
        <w:rPr>
          <w:rFonts w:ascii="微软雅黑" w:hAnsi="微软雅黑"/>
          <w:sz w:val="21"/>
        </w:rPr>
        <w:t>一旦媒体项的保留窗口到期，它将永远无法再次访问，并将被删除。例如：</w:t>
      </w:r>
    </w:p>
    <w:p>
      <w:pPr>
        <w:pStyle w:val="ListBullet"/>
        <w:spacing w:line="360" w:lineRule="auto" w:after="120"/>
      </w:pPr>
      <w:r>
        <w:rPr>
          <w:rFonts w:ascii="微软雅黑" w:hAnsi="微软雅黑"/>
          <w:sz w:val="21"/>
        </w:rPr>
        <w:t>当保留窗口从30天减少到7天时，所有超过新窗口（7天）天数的媒体项将立即无法访问。</w:t>
      </w:r>
    </w:p>
    <w:p>
      <w:pPr>
        <w:pStyle w:val="ListBullet"/>
        <w:spacing w:line="360" w:lineRule="auto" w:after="120"/>
      </w:pPr>
      <w:r>
        <w:rPr>
          <w:rFonts w:ascii="微软雅黑" w:hAnsi="微软雅黑"/>
          <w:sz w:val="21"/>
        </w:rPr>
        <w:t>当保留窗口从7天扩展到30天时，之前过期的媒体项（7天零1秒）将不会再次可访问。即使保留期更改为“永久”，也是如此。</w:t>
      </w:r>
    </w:p>
    <w:p>
      <w:pPr>
        <w:pStyle w:val="Heading2"/>
      </w:pPr>
      <w:r>
        <w:rPr>
          <w:rFonts w:ascii="微软雅黑" w:hAnsi="微软雅黑"/>
        </w:rPr>
        <w:t>在Foundry中变换媒体</w:t>
      </w:r>
    </w:p>
    <w:p>
      <w:pPr>
        <w:pStyle w:val="Heading3"/>
      </w:pPr>
      <w:r>
        <w:rPr>
          <w:rFonts w:ascii="微软雅黑" w:hAnsi="微软雅黑"/>
        </w:rPr>
        <w:t>管道构建器</w:t>
      </w:r>
    </w:p>
    <w:p>
      <w:pPr>
        <w:spacing w:line="360" w:lineRule="auto" w:after="120"/>
      </w:pPr>
      <w:r>
        <w:rPr>
          <w:rFonts w:ascii="微软雅黑" w:hAnsi="微软雅黑"/>
          <w:sz w:val="21"/>
        </w:rPr>
        <w:t>在</w:t>
      </w:r>
      <w:r>
        <w:rPr>
          <w:rFonts w:ascii="微软雅黑" w:hAnsi="微软雅黑"/>
          <w:color w:val="0066CC"/>
          <w:sz w:val="21"/>
          <w:u w:val="single"/>
        </w:rPr>
        <w:t>管道构建器</w:t>
      </w:r>
      <w:r>
        <w:rPr>
          <w:rFonts w:ascii="微软雅黑" w:hAnsi="微软雅黑"/>
          <w:sz w:val="21"/>
        </w:rPr>
        <w:t>中提供了常见的媒体集变换。</w:t>
      </w:r>
      <w:r>
        <w:rPr>
          <w:rFonts w:ascii="微软雅黑" w:hAnsi="微软雅黑"/>
          <w:color w:val="0066CC"/>
          <w:sz w:val="21"/>
          <w:u w:val="single"/>
        </w:rPr>
        <w:t>了解如何在管道构建器中搭建带有媒体集的批处理管道。</w:t>
      </w:r>
    </w:p>
    <w:p>
      <w:pPr>
        <w:spacing w:line="360" w:lineRule="auto" w:after="120"/>
      </w:pPr>
      <w:r>
        <w:rPr>
          <w:rFonts w:ascii="微软雅黑" w:hAnsi="微软雅黑"/>
          <w:sz w:val="21"/>
        </w:rPr>
        <w:t>以下是一个在PDF上使用的文本提取（OCR选项）面板的示例：</w:t>
      </w:r>
    </w:p>
    <w:p>
      <w:pPr>
        <w:spacing w:after="40"/>
        <w:jc w:val="center"/>
      </w:pPr>
      <w:r>
        <w:rPr>
          <w:i/>
          <w:color w:val="646464"/>
          <w:sz w:val="18"/>
        </w:rPr>
        <w:t>图：在管道构建器上的文本提取</w:t>
      </w:r>
    </w:p>
    <w:p>
      <w:pPr>
        <w:spacing w:before="120" w:after="240"/>
        <w:jc w:val="center"/>
      </w:pPr>
      <w:r>
        <w:drawing>
          <wp:inline xmlns:a="http://schemas.openxmlformats.org/drawingml/2006/main" xmlns:pic="http://schemas.openxmlformats.org/drawingml/2006/picture">
            <wp:extent cx="5029200" cy="2883486"/>
            <wp:docPr id="46" name="Picture 46"/>
            <wp:cNvGraphicFramePr>
              <a:graphicFrameLocks noChangeAspect="1"/>
            </wp:cNvGraphicFramePr>
            <a:graphic>
              <a:graphicData uri="http://schemas.openxmlformats.org/drawingml/2006/picture">
                <pic:pic>
                  <pic:nvPicPr>
                    <pic:cNvPr id="0" name="pipeline_builder_pdf_ocr_board.png"/>
                    <pic:cNvPicPr/>
                  </pic:nvPicPr>
                  <pic:blipFill>
                    <a:blip r:embed="rId53"/>
                    <a:stretch>
                      <a:fillRect/>
                    </a:stretch>
                  </pic:blipFill>
                  <pic:spPr>
                    <a:xfrm>
                      <a:off x="0" y="0"/>
                      <a:ext cx="5029200" cy="2883486"/>
                    </a:xfrm>
                    <a:prstGeom prst="rect"/>
                  </pic:spPr>
                </pic:pic>
              </a:graphicData>
            </a:graphic>
          </wp:inline>
        </w:drawing>
      </w:r>
    </w:p>
    <w:p>
      <w:pPr>
        <w:spacing w:line="360" w:lineRule="auto" w:after="120"/>
      </w:pPr>
      <w:r>
        <w:rPr>
          <w:rFonts w:ascii="微软雅黑" w:hAnsi="微软雅黑"/>
          <w:sz w:val="21"/>
        </w:rPr>
        <w:t>如果您对当前不可用的变换感兴趣，请联系您的Palantir代表。</w:t>
      </w:r>
    </w:p>
    <w:p>
      <w:pPr>
        <w:pStyle w:val="Heading3"/>
      </w:pPr>
      <w:r>
        <w:rPr>
          <w:rFonts w:ascii="微软雅黑" w:hAnsi="微软雅黑"/>
        </w:rPr>
        <w:t>代码仓库</w:t>
      </w:r>
    </w:p>
    <w:p>
      <w:pPr>
        <w:spacing w:line="360" w:lineRule="auto" w:after="120"/>
      </w:pPr>
      <w:r>
        <w:rPr>
          <w:rFonts w:ascii="微软雅黑" w:hAnsi="微软雅黑"/>
          <w:sz w:val="21"/>
        </w:rPr>
        <w:t>媒体集也支持通过</w:t>
      </w:r>
      <w:r>
        <w:rPr>
          <w:rFonts w:ascii="微软雅黑" w:hAnsi="微软雅黑"/>
          <w:color w:val="0066CC"/>
          <w:sz w:val="21"/>
          <w:u w:val="single"/>
        </w:rPr>
        <w:t>导入`transforms-media`库</w:t>
      </w:r>
      <w:r>
        <w:rPr>
          <w:rFonts w:ascii="微软雅黑" w:hAnsi="微软雅黑"/>
          <w:sz w:val="21"/>
        </w:rPr>
        <w:t>在Python变换中使用的专门变换，如PDF文本提取、光学字符识别（OCR）、图像切片和元数据解析。</w:t>
      </w:r>
    </w:p>
    <w:p>
      <w:pPr>
        <w:spacing w:line="360" w:lineRule="auto" w:after="120"/>
      </w:pPr>
      <w:r>
        <w:rPr>
          <w:rFonts w:ascii="微软雅黑" w:hAnsi="微软雅黑"/>
          <w:sz w:val="21"/>
        </w:rPr>
        <w:t>可以在</w:t>
      </w:r>
      <w:r>
        <w:rPr>
          <w:rFonts w:ascii="微软雅黑" w:hAnsi="微软雅黑"/>
          <w:color w:val="0066CC"/>
          <w:sz w:val="21"/>
          <w:u w:val="single"/>
        </w:rPr>
        <w:t>使用Python变换的媒体集文档</w:t>
      </w:r>
      <w:r>
        <w:rPr>
          <w:rFonts w:ascii="微软雅黑" w:hAnsi="微软雅黑"/>
          <w:sz w:val="21"/>
        </w:rPr>
        <w:t>中找到常见变换。</w:t>
      </w:r>
    </w:p>
    <w:p>
      <w:pPr>
        <w:spacing w:line="360" w:lineRule="auto" w:after="120"/>
      </w:pPr>
      <w:r>
        <w:rPr>
          <w:rFonts w:ascii="微软雅黑" w:hAnsi="微软雅黑"/>
          <w:sz w:val="21"/>
        </w:rPr>
        <w:t>以下是您如何在代码仓库中开始使用媒体集的示例：</w:t>
      </w:r>
    </w:p>
    <w:p>
      <w:pPr>
        <w:spacing w:before="80" w:after="80"/>
        <w:ind w:left="567"/>
      </w:pPr>
      <w:r>
        <w:rPr>
          <w:rFonts w:ascii="Consolas" w:hAnsi="Consolas"/>
          <w:color w:val="505050"/>
          <w:sz w:val="18"/>
        </w:rPr>
        <w:t>from transforms.api import transform</w:t>
        <w:br/>
        <w:t>from transforms.mediasets import MediaSetInput, MediaSetOutput</w:t>
        <w:br/>
        <w:t># 使用装饰器 @transform 来定义一个数据转换函数</w:t>
        <w:br/>
        <w:t>@transform(</w:t>
        <w:br/>
        <w:t xml:space="preserve">    images=MediaSetInput('/examples/images'),  # 输入媒体集路径</w:t>
        <w:br/>
        <w:t xml:space="preserve">    output_images=MediaSetOutput('/examples/output_images')  # 输出媒体集路径</w:t>
        <w:br/>
        <w:t>)</w:t>
        <w:br/>
        <w:t>def translate_images(images, output_images):</w:t>
        <w:br/>
        <w:t xml:space="preserve">    ...</w:t>
      </w:r>
    </w:p>
    <w:p>
      <w:pPr>
        <w:spacing w:line="360" w:lineRule="auto" w:after="120"/>
      </w:pPr>
      <w:r>
        <w:rPr>
          <w:rFonts w:ascii="微软雅黑" w:hAnsi="微软雅黑"/>
          <w:sz w:val="21"/>
        </w:rPr>
        <w:t xml:space="preserve">此代码中，使用了 </w:t>
      </w:r>
      <w:r>
        <w:rPr>
          <w:rFonts w:ascii="Consolas" w:hAnsi="Consolas"/>
          <w:color w:val="B43C3C"/>
          <w:sz w:val="18"/>
        </w:rPr>
        <w:t>transforms</w:t>
      </w:r>
      <w:r>
        <w:rPr>
          <w:rFonts w:ascii="微软雅黑" w:hAnsi="微软雅黑"/>
          <w:sz w:val="21"/>
        </w:rPr>
        <w:t xml:space="preserve"> 库中的功能来处理媒体数据集。</w:t>
      </w:r>
      <w:r>
        <w:rPr>
          <w:rFonts w:ascii="Consolas" w:hAnsi="Consolas"/>
          <w:color w:val="B43C3C"/>
          <w:sz w:val="18"/>
        </w:rPr>
        <w:t>translate_images</w:t>
      </w:r>
      <w:r>
        <w:rPr>
          <w:rFonts w:ascii="微软雅黑" w:hAnsi="微软雅黑"/>
          <w:sz w:val="21"/>
        </w:rPr>
        <w:t xml:space="preserve"> 函数被装饰器 </w:t>
      </w:r>
      <w:r>
        <w:rPr>
          <w:rFonts w:ascii="Consolas" w:hAnsi="Consolas"/>
          <w:color w:val="B43C3C"/>
          <w:sz w:val="18"/>
        </w:rPr>
        <w:t>@transform</w:t>
      </w:r>
      <w:r>
        <w:rPr>
          <w:rFonts w:ascii="微软雅黑" w:hAnsi="微软雅黑"/>
          <w:sz w:val="21"/>
        </w:rPr>
        <w:t xml:space="preserve"> 修饰，表示这是一个数据转换函数。</w:t>
      </w:r>
      <w:r>
        <w:rPr>
          <w:rFonts w:ascii="Consolas" w:hAnsi="Consolas"/>
          <w:color w:val="B43C3C"/>
          <w:sz w:val="18"/>
        </w:rPr>
        <w:t>MediaSetInput</w:t>
      </w:r>
      <w:r>
        <w:rPr>
          <w:rFonts w:ascii="微软雅黑" w:hAnsi="微软雅黑"/>
          <w:sz w:val="21"/>
        </w:rPr>
        <w:t xml:space="preserve"> 和 </w:t>
      </w:r>
      <w:r>
        <w:rPr>
          <w:rFonts w:ascii="Consolas" w:hAnsi="Consolas"/>
          <w:color w:val="B43C3C"/>
          <w:sz w:val="18"/>
        </w:rPr>
        <w:t>MediaSetOutput</w:t>
      </w:r>
      <w:r>
        <w:rPr>
          <w:rFonts w:ascii="微软雅黑" w:hAnsi="微软雅黑"/>
          <w:sz w:val="21"/>
        </w:rPr>
        <w:t xml:space="preserve"> 分别定义了输入和输出的媒体集路径。</w:t>
      </w:r>
    </w:p>
    <w:p>
      <w:pPr>
        <w:pStyle w:val="Heading3"/>
      </w:pPr>
      <w:r>
        <w:rPr>
          <w:rFonts w:ascii="微软雅黑" w:hAnsi="微软雅黑"/>
        </w:rPr>
        <w:t>访问模式</w:t>
      </w:r>
    </w:p>
    <w:p>
      <w:pPr>
        <w:spacing w:line="360" w:lineRule="auto" w:after="120"/>
      </w:pPr>
      <w:r>
        <w:rPr>
          <w:rFonts w:ascii="微软雅黑" w:hAnsi="微软雅黑"/>
          <w:sz w:val="21"/>
        </w:rPr>
        <w:t>高级用户和开发人员可以利用媒体集的*访问模式*，这些模式是预先配置的变换，可以按需在媒体集中的媒体项上执行。访问模式具有存储和优化调整的持久性策略，提供在每次请求时重新计算、首次请求后无限期保留输出或缓存一段时间的选项。</w:t>
      </w:r>
    </w:p>
    <w:p>
      <w:pPr>
        <w:spacing w:line="360" w:lineRule="auto" w:after="120"/>
      </w:pPr>
      <w:r>
        <w:rPr>
          <w:rFonts w:ascii="微软雅黑" w:hAnsi="微软雅黑"/>
          <w:sz w:val="21"/>
        </w:rPr>
        <w:t>Foundry平台利用访问模式以最佳方式处理或呈现媒体集项。例如：</w:t>
      </w:r>
    </w:p>
    <w:p>
      <w:pPr>
        <w:pStyle w:val="ListBullet"/>
        <w:spacing w:line="360" w:lineRule="auto" w:after="120"/>
      </w:pPr>
      <w:r>
        <w:rPr>
          <w:rFonts w:ascii="微软雅黑" w:hAnsi="微软雅黑"/>
          <w:sz w:val="21"/>
        </w:rPr>
        <w:t>Workshop中的PDF缩略图和预览</w:t>
      </w:r>
    </w:p>
    <w:p>
      <w:pPr>
        <w:pStyle w:val="ListBullet"/>
        <w:spacing w:line="360" w:lineRule="auto" w:after="120"/>
      </w:pPr>
      <w:r>
        <w:rPr>
          <w:rFonts w:ascii="微软雅黑" w:hAnsi="微软雅黑"/>
          <w:sz w:val="21"/>
        </w:rPr>
        <w:t>Preview应用中的缓冲音频波形</w:t>
      </w:r>
    </w:p>
    <w:p>
      <w:pPr>
        <w:pStyle w:val="ListBullet"/>
        <w:spacing w:line="360" w:lineRule="auto" w:after="120"/>
      </w:pPr>
      <w:r>
        <w:rPr>
          <w:rFonts w:ascii="微软雅黑" w:hAnsi="微软雅黑"/>
          <w:sz w:val="21"/>
        </w:rPr>
        <w:t>Map中的瓦片化卫星影像</w:t>
      </w:r>
    </w:p>
    <w:p>
      <w:pPr>
        <w:spacing w:line="360" w:lineRule="auto" w:after="120"/>
      </w:pPr>
      <w:r>
        <w:rPr>
          <w:rFonts w:ascii="微软雅黑" w:hAnsi="微软雅黑"/>
          <w:sz w:val="21"/>
        </w:rPr>
        <w:t>默认可用的访问模式集是根据配置的媒体集模式确定的。额外的变换通过API调用注册为媒体集的访问模式。</w:t>
      </w:r>
    </w:p>
    <w:p>
      <w:pPr>
        <w:pStyle w:val="Heading2"/>
      </w:pPr>
      <w:r>
        <w:rPr>
          <w:rFonts w:ascii="微软雅黑" w:hAnsi="微软雅黑"/>
        </w:rPr>
        <w:t>媒体引用</w:t>
      </w:r>
    </w:p>
    <w:p>
      <w:pPr>
        <w:spacing w:line="360" w:lineRule="auto" w:after="120"/>
      </w:pPr>
      <w:r>
        <w:rPr>
          <w:rFonts w:ascii="微软雅黑" w:hAnsi="微软雅黑"/>
          <w:sz w:val="21"/>
        </w:rPr>
        <w:t>媒体集中的项可以使用*媒体引用*进行引用。媒体引用使您可以在Foundry中使用媒体项，而无需复制媒体项本身。</w:t>
      </w:r>
    </w:p>
    <w:p>
      <w:pPr>
        <w:spacing w:line="360" w:lineRule="auto" w:after="120"/>
      </w:pPr>
      <w:r>
        <w:rPr>
          <w:rFonts w:ascii="微软雅黑" w:hAnsi="微软雅黑"/>
          <w:sz w:val="21"/>
        </w:rPr>
        <w:t>使用*媒体引用*在数据集中引用媒体集项。这对于将媒体项与元数据或其他信息以表格格式关联很有用。例如，您可以将原始PDF与其文件名、页数和提取的文本关联为附加列。</w:t>
      </w:r>
    </w:p>
    <w:p>
      <w:pPr>
        <w:spacing w:line="360" w:lineRule="auto" w:after="120"/>
      </w:pPr>
      <w:r>
        <w:rPr>
          <w:rFonts w:ascii="微软雅黑" w:hAnsi="微软雅黑"/>
          <w:sz w:val="21"/>
        </w:rPr>
        <w:t>您还可以将媒体引用用作</w:t>
      </w:r>
      <w:r>
        <w:rPr>
          <w:rFonts w:ascii="微软雅黑" w:hAnsi="微软雅黑"/>
          <w:color w:val="0066CC"/>
          <w:sz w:val="21"/>
          <w:u w:val="single"/>
        </w:rPr>
        <w:t>模型适配器</w:t>
      </w:r>
      <w:r>
        <w:rPr>
          <w:rFonts w:ascii="微软雅黑" w:hAnsi="微软雅黑"/>
          <w:sz w:val="21"/>
        </w:rPr>
        <w:t>的批量推理管道的输入。</w:t>
      </w:r>
    </w:p>
    <w:p>
      <w:pPr>
        <w:spacing w:line="360" w:lineRule="auto" w:after="120"/>
      </w:pPr>
      <w:r>
        <w:rPr>
          <w:rFonts w:ascii="微软雅黑" w:hAnsi="微软雅黑"/>
          <w:sz w:val="21"/>
        </w:rPr>
        <w:t>要为您的媒体集生成媒体引用列表，请在Pipeline Builder中使用</w:t>
      </w:r>
      <w:r>
        <w:rPr>
          <w:rFonts w:ascii="Consolas" w:hAnsi="Consolas"/>
          <w:color w:val="B43C3C"/>
          <w:sz w:val="18"/>
        </w:rPr>
        <w:t>Get media references</w:t>
      </w:r>
      <w:r>
        <w:rPr>
          <w:rFonts w:ascii="微软雅黑" w:hAnsi="微软雅黑"/>
          <w:sz w:val="21"/>
        </w:rPr>
        <w:t>函数。您还可以通过导入</w:t>
      </w:r>
      <w:r>
        <w:rPr>
          <w:rFonts w:ascii="Consolas" w:hAnsi="Consolas"/>
          <w:color w:val="B43C3C"/>
          <w:sz w:val="18"/>
        </w:rPr>
        <w:t>transforms-media</w:t>
      </w:r>
      <w:r>
        <w:rPr>
          <w:rFonts w:ascii="微软雅黑" w:hAnsi="微软雅黑"/>
          <w:sz w:val="21"/>
        </w:rPr>
        <w:t>库并调用</w:t>
      </w:r>
      <w:r>
        <w:rPr>
          <w:rFonts w:ascii="Consolas" w:hAnsi="Consolas"/>
          <w:color w:val="B43C3C"/>
          <w:sz w:val="18"/>
        </w:rPr>
        <w:t>list_media_items_by_path_with_media_reference</w:t>
      </w:r>
      <w:r>
        <w:rPr>
          <w:rFonts w:ascii="微软雅黑" w:hAnsi="微软雅黑"/>
          <w:sz w:val="21"/>
        </w:rPr>
        <w:t>方法，在Python变换中生成媒体引用：</w:t>
      </w:r>
    </w:p>
    <w:p>
      <w:pPr>
        <w:spacing w:before="80" w:after="80"/>
        <w:ind w:left="567"/>
      </w:pPr>
      <w:r>
        <w:rPr>
          <w:rFonts w:ascii="Consolas" w:hAnsi="Consolas"/>
          <w:color w:val="505050"/>
          <w:sz w:val="18"/>
        </w:rPr>
        <w:t>from pyspark.sql import functions as F</w:t>
        <w:br/>
        <w:t>from transforms.api import transform, Input, Output</w:t>
        <w:br/>
        <w:t>from transforms.mediasets import MediaSetInput</w:t>
        <w:br/>
        <w:t>@transform(</w:t>
        <w:br/>
        <w:t xml:space="preserve">    metadata_out=Output("{YOUR_OUTPUT_METADATA_DATASET}"),  # 指定输出数据集</w:t>
        <w:br/>
        <w:t xml:space="preserve">    mediaset_in=MediaSetInput("{YOUR_MEDIA_SET_RID}")       # 指定输入媒体集资源ID</w:t>
        <w:br/>
        <w:t>)</w:t>
        <w:br/>
        <w:t>def compute(ctx, mediaset_in, metadata_out):</w:t>
        <w:br/>
        <w:t xml:space="preserve">    # 获取媒体项目的路径及其引用</w:t>
        <w:br/>
        <w:t xml:space="preserve">    media_references = mediaset_in.list_media_items_by_path_with_media_reference(ctx)</w:t>
        <w:br/>
        <w:t xml:space="preserve">    # 定义列的类型，'mediaReference' 是引用类型，这样可以在数据集中启用内联缩略图</w:t>
        <w:br/>
        <w:t xml:space="preserve">    column_typeclasses = {'mediaReference': [{'kind': 'reference', 'name': 'media_reference'}]}</w:t>
        <w:br/>
        <w:t xml:space="preserve">    # 将数据写入输出数据集，同时指定列类型</w:t>
        <w:br/>
        <w:t xml:space="preserve">    metadata_out.write_dataframe(media_references, column_typeclasses=column_typeclasses)</w:t>
      </w:r>
    </w:p>
    <w:p>
      <w:pPr>
        <w:pStyle w:val="Heading2"/>
      </w:pPr>
      <w:r>
        <w:rPr>
          <w:rFonts w:ascii="微软雅黑" w:hAnsi="微软雅黑"/>
        </w:rPr>
        <w:t>使用媒体引用对媒体进行Ontology化</w:t>
      </w:r>
    </w:p>
    <w:p>
      <w:pPr>
        <w:spacing w:line="360" w:lineRule="auto" w:after="120"/>
      </w:pPr>
      <w:r>
        <w:rPr>
          <w:rFonts w:ascii="微软雅黑" w:hAnsi="微软雅黑"/>
          <w:sz w:val="21"/>
        </w:rPr>
        <w:t>使用媒体引用</w:t>
      </w:r>
      <w:r>
        <w:rPr>
          <w:rFonts w:ascii="微软雅黑" w:hAnsi="微软雅黑"/>
          <w:color w:val="0066CC"/>
          <w:sz w:val="21"/>
          <w:u w:val="single"/>
        </w:rPr>
        <w:t>对象属性</w:t>
      </w:r>
      <w:r>
        <w:rPr>
          <w:rFonts w:ascii="微软雅黑" w:hAnsi="微软雅黑"/>
          <w:sz w:val="21"/>
        </w:rPr>
        <w:t>在构建于Ontology的应用中高效显示您的媒体。优化包括在Workshop或Object Explorer中更快和互动的预览，以及在Map中用于地理空间图像的平铺。</w:t>
      </w:r>
    </w:p>
    <w:p>
      <w:pPr>
        <w:pStyle w:val="Heading2"/>
      </w:pPr>
      <w:r>
        <w:rPr>
          <w:rFonts w:ascii="微软雅黑" w:hAnsi="微软雅黑"/>
        </w:rPr>
        <w:t>使用媒体引用属性的自定义逻辑</w:t>
      </w:r>
    </w:p>
    <w:p>
      <w:pPr>
        <w:spacing w:line="360" w:lineRule="auto" w:after="120"/>
      </w:pPr>
      <w:r>
        <w:rPr>
          <w:rFonts w:ascii="微软雅黑" w:hAnsi="微软雅黑"/>
          <w:sz w:val="21"/>
        </w:rPr>
        <w:t>在</w:t>
      </w:r>
      <w:r>
        <w:rPr>
          <w:rFonts w:ascii="微软雅黑" w:hAnsi="微软雅黑"/>
          <w:color w:val="0066CC"/>
          <w:sz w:val="21"/>
          <w:u w:val="single"/>
        </w:rPr>
        <w:t>对象函数</w:t>
      </w:r>
      <w:r>
        <w:rPr>
          <w:rFonts w:ascii="微软雅黑" w:hAnsi="微软雅黑"/>
          <w:sz w:val="21"/>
        </w:rPr>
        <w:t>中使用具有媒体引用对象属性的对象。</w:t>
      </w:r>
    </w:p>
    <w:p>
      <w:pPr>
        <w:spacing w:line="360" w:lineRule="auto" w:after="120"/>
      </w:pPr>
      <w:r>
        <w:rPr>
          <w:rFonts w:ascii="微软雅黑" w:hAnsi="微软雅黑"/>
          <w:sz w:val="21"/>
        </w:rPr>
        <w:t>您可以直接读取原始媒体项。此外，您还可以对媒体项执行常见的特定类型操作，例如：</w:t>
      </w:r>
    </w:p>
    <w:p>
      <w:pPr>
        <w:pStyle w:val="ListBullet"/>
        <w:spacing w:line="360" w:lineRule="auto" w:after="120"/>
      </w:pPr>
      <w:r>
        <w:rPr>
          <w:rFonts w:ascii="微软雅黑" w:hAnsi="微软雅黑"/>
          <w:sz w:val="21"/>
        </w:rPr>
        <w:t>对文档进行OCR</w:t>
      </w:r>
    </w:p>
    <w:p>
      <w:pPr>
        <w:pStyle w:val="ListBullet"/>
        <w:spacing w:line="360" w:lineRule="auto" w:after="120"/>
      </w:pPr>
      <w:r>
        <w:rPr>
          <w:rFonts w:ascii="微软雅黑" w:hAnsi="微软雅黑"/>
          <w:sz w:val="21"/>
        </w:rPr>
        <w:t>从文档中提取文本</w:t>
      </w:r>
    </w:p>
    <w:p>
      <w:pPr>
        <w:pStyle w:val="ListBullet"/>
        <w:spacing w:line="360" w:lineRule="auto" w:after="120"/>
      </w:pPr>
      <w:r>
        <w:rPr>
          <w:rFonts w:ascii="微软雅黑" w:hAnsi="微软雅黑"/>
          <w:sz w:val="21"/>
        </w:rPr>
        <w:t>音频转录</w:t>
      </w:r>
    </w:p>
    <w:p>
      <w:pPr>
        <w:pStyle w:val="ListBullet"/>
        <w:spacing w:line="360" w:lineRule="auto" w:after="120"/>
      </w:pPr>
      <w:r>
        <w:rPr>
          <w:rFonts w:ascii="微软雅黑" w:hAnsi="微软雅黑"/>
          <w:sz w:val="21"/>
        </w:rPr>
        <w:t>读取媒体项元数据</w:t>
      </w:r>
    </w:p>
    <w:p>
      <w:pPr>
        <w:pStyle w:val="Heading2"/>
      </w:pPr>
      <w:r>
        <w:rPr>
          <w:rFonts w:ascii="微软雅黑" w:hAnsi="微软雅黑"/>
        </w:rPr>
        <w:t>从媒体集中删除媒体项</w:t>
      </w:r>
    </w:p>
    <w:p>
      <w:pPr>
        <w:spacing w:line="360" w:lineRule="auto" w:after="120"/>
      </w:pPr>
      <w:r>
        <w:rPr>
          <w:rFonts w:ascii="微软雅黑" w:hAnsi="微软雅黑"/>
          <w:sz w:val="21"/>
        </w:rPr>
        <w:t>您可以通过选择要删除的媒体项，并选择</w:t>
      </w:r>
      <w:r>
        <w:rPr>
          <w:rFonts w:ascii="微软雅黑" w:hAnsi="微软雅黑"/>
          <w:b/>
          <w:sz w:val="21"/>
        </w:rPr>
        <w:t>删除</w:t>
      </w:r>
      <w:r>
        <w:rPr>
          <w:rFonts w:ascii="微软雅黑" w:hAnsi="微软雅黑"/>
          <w:sz w:val="21"/>
        </w:rPr>
        <w:t>操作，从媒体集中删除媒体项。为了防止意外删除，此操作将要求您在弹出窗口中再次选择</w:t>
      </w:r>
      <w:r>
        <w:rPr>
          <w:rFonts w:ascii="微软雅黑" w:hAnsi="微软雅黑"/>
          <w:b/>
          <w:sz w:val="21"/>
        </w:rPr>
        <w:t>确认删除</w:t>
      </w:r>
      <w:r>
        <w:rPr>
          <w:rFonts w:ascii="微软雅黑" w:hAnsi="微软雅黑"/>
          <w:sz w:val="21"/>
        </w:rPr>
        <w:t>以确认您删除媒体项的意图。</w:t>
      </w:r>
    </w:p>
    <w:p>
      <w:pPr>
        <w:spacing w:after="40"/>
        <w:jc w:val="center"/>
      </w:pPr>
      <w:r>
        <w:rPr>
          <w:i/>
          <w:color w:val="646464"/>
          <w:sz w:val="18"/>
        </w:rPr>
        <w:t>图：删除媒体项</w:t>
      </w:r>
    </w:p>
    <w:p>
      <w:pPr>
        <w:spacing w:before="120" w:after="240"/>
        <w:jc w:val="center"/>
      </w:pPr>
      <w:r>
        <w:drawing>
          <wp:inline xmlns:a="http://schemas.openxmlformats.org/drawingml/2006/main" xmlns:pic="http://schemas.openxmlformats.org/drawingml/2006/picture">
            <wp:extent cx="5029200" cy="3085419"/>
            <wp:docPr id="47" name="Picture 47"/>
            <wp:cNvGraphicFramePr>
              <a:graphicFrameLocks noChangeAspect="1"/>
            </wp:cNvGraphicFramePr>
            <a:graphic>
              <a:graphicData uri="http://schemas.openxmlformats.org/drawingml/2006/picture">
                <pic:pic>
                  <pic:nvPicPr>
                    <pic:cNvPr id="0" name="delete-media-item.png"/>
                    <pic:cNvPicPr/>
                  </pic:nvPicPr>
                  <pic:blipFill>
                    <a:blip r:embed="rId54"/>
                    <a:stretch>
                      <a:fillRect/>
                    </a:stretch>
                  </pic:blipFill>
                  <pic:spPr>
                    <a:xfrm>
                      <a:off x="0" y="0"/>
                      <a:ext cx="5029200" cy="3085419"/>
                    </a:xfrm>
                    <a:prstGeom prst="rect"/>
                  </pic:spPr>
                </pic:pic>
              </a:graphicData>
            </a:graphic>
          </wp:inline>
        </w:drawing>
      </w:r>
    </w:p>
    <w:p>
      <w:pPr>
        <w:spacing w:line="360" w:lineRule="auto" w:after="120"/>
      </w:pPr>
      <w:r>
        <w:rPr>
          <w:rFonts w:ascii="微软雅黑" w:hAnsi="微软雅黑"/>
          <w:sz w:val="21"/>
        </w:rPr>
        <w:t>一旦您成功删除了该项目，媒体集将刷新并显示成功消息。您现在可以查看没有被删除媒体项的媒体集。</w:t>
      </w:r>
    </w:p>
    <w:p>
      <w:pPr>
        <w:spacing w:after="40"/>
        <w:jc w:val="center"/>
      </w:pPr>
      <w:r>
        <w:rPr>
          <w:i/>
          <w:color w:val="646464"/>
          <w:sz w:val="18"/>
        </w:rPr>
        <w:t>图：成功删除</w:t>
      </w:r>
    </w:p>
    <w:p>
      <w:pPr>
        <w:spacing w:before="120" w:after="240"/>
        <w:jc w:val="center"/>
      </w:pPr>
      <w:r>
        <w:drawing>
          <wp:inline xmlns:a="http://schemas.openxmlformats.org/drawingml/2006/main" xmlns:pic="http://schemas.openxmlformats.org/drawingml/2006/picture">
            <wp:extent cx="5029200" cy="3071925"/>
            <wp:docPr id="48" name="Picture 48"/>
            <wp:cNvGraphicFramePr>
              <a:graphicFrameLocks noChangeAspect="1"/>
            </wp:cNvGraphicFramePr>
            <a:graphic>
              <a:graphicData uri="http://schemas.openxmlformats.org/drawingml/2006/picture">
                <pic:pic>
                  <pic:nvPicPr>
                    <pic:cNvPr id="0" name="delete-media-item-success.png"/>
                    <pic:cNvPicPr/>
                  </pic:nvPicPr>
                  <pic:blipFill>
                    <a:blip r:embed="rId55"/>
                    <a:stretch>
                      <a:fillRect/>
                    </a:stretch>
                  </pic:blipFill>
                  <pic:spPr>
                    <a:xfrm>
                      <a:off x="0" y="0"/>
                      <a:ext cx="5029200" cy="3071925"/>
                    </a:xfrm>
                    <a:prstGeom prst="rect"/>
                  </pic:spPr>
                </pic:pic>
              </a:graphicData>
            </a:graphic>
          </wp:inline>
        </w:drawing>
      </w:r>
    </w:p>
    <w:p>
      <w:pPr>
        <w:pStyle w:val="Heading2"/>
      </w:pPr>
      <w:r>
        <w:rPr>
          <w:rFonts w:ascii="微软雅黑" w:hAnsi="微软雅黑"/>
        </w:rPr>
        <w:t>媒体集计算使用</w:t>
      </w:r>
    </w:p>
    <w:p>
      <w:pPr>
        <w:spacing w:line="360" w:lineRule="auto" w:after="120"/>
      </w:pPr>
      <w:r>
        <w:rPr>
          <w:rFonts w:ascii="微软雅黑" w:hAnsi="微软雅黑"/>
          <w:sz w:val="21"/>
        </w:rPr>
        <w:t>媒体集为平台带来了许多先进的开箱即用变换。除了通过变换和管道触发外，还可以通过前端与媒体项交互（例如，预览媒体项）触发媒体变换。此外，下载或流式传输媒体项的全部内容也是有成本的。</w:t>
      </w:r>
    </w:p>
    <w:p>
      <w:pPr>
        <w:spacing w:line="360" w:lineRule="auto" w:after="120"/>
      </w:pPr>
      <w:r>
        <w:rPr>
          <w:rFonts w:ascii="微软雅黑" w:hAnsi="微软雅黑"/>
          <w:sz w:val="21"/>
        </w:rPr>
        <w:t>使用情况以Foundry计算秒为单位进行跟踪。下表描述了每个可用的变换，以及按每GB处理量的计算秒的使用率。</w:t>
      </w:r>
    </w:p>
    <w:p>
      <w:pPr>
        <w:spacing w:line="360" w:lineRule="auto" w:after="120"/>
      </w:pPr>
      <w:r>
        <w:rPr>
          <w:rFonts w:ascii="微软雅黑" w:hAnsi="微软雅黑"/>
          <w:sz w:val="21"/>
        </w:rPr>
        <w:t>如果您与Palantir签订了企业合同，请在进行使用计算之前联系您的Palantir代表。</w:t>
      </w:r>
    </w:p>
    <w:p>
      <w:pPr>
        <w:pStyle w:val="Heading3"/>
      </w:pPr>
      <w:r>
        <w:rPr>
          <w:rFonts w:ascii="微软雅黑" w:hAnsi="微软雅黑"/>
        </w:rPr>
        <w:t>变换</w:t>
      </w:r>
    </w:p>
    <w:p>
      <w:pPr>
        <w:spacing w:line="360" w:lineRule="auto" w:after="120"/>
      </w:pPr>
      <w:r>
        <w:rPr>
          <w:rFonts w:ascii="微软雅黑" w:hAnsi="微软雅黑"/>
          <w:sz w:val="21"/>
        </w:rPr>
        <w:t>*使用率以每GB的计算秒为单位衡量*</w:t>
      </w:r>
    </w:p>
    <w:p>
      <w:pPr>
        <w:spacing w:line="360" w:lineRule="auto" w:after="120"/>
      </w:pPr>
      <w:r>
        <w:rPr>
          <w:rFonts w:ascii="微软雅黑" w:hAnsi="微软雅黑"/>
          <w:sz w:val="21"/>
        </w:rPr>
        <w:t>#### 全部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变换</w:t>
            </w:r>
          </w:p>
        </w:tc>
        <w:tc>
          <w:tcPr>
            <w:tcW w:type="dxa" w:w="4451"/>
          </w:tcPr>
          <w:p>
            <w:pPr>
              <w:spacing w:after="40" w:before="40"/>
            </w:pPr>
            <w:r>
              <w:rPr>
                <w:rFonts w:ascii="微软雅黑" w:hAnsi="微软雅黑"/>
                <w:sz w:val="20"/>
              </w:rPr>
              <w:t>使用率</w:t>
            </w:r>
          </w:p>
        </w:tc>
      </w:tr>
      <w:tr>
        <w:tc>
          <w:tcPr>
            <w:tcW w:type="dxa" w:w="4451"/>
          </w:tcPr>
          <w:p>
            <w:pPr>
              <w:spacing w:after="40" w:before="40"/>
            </w:pPr>
            <w:r>
              <w:rPr>
                <w:rFonts w:ascii="微软雅黑" w:hAnsi="微软雅黑"/>
                <w:sz w:val="20"/>
              </w:rPr>
              <w:t>下载 / 流式传输</w:t>
            </w:r>
          </w:p>
        </w:tc>
        <w:tc>
          <w:tcPr>
            <w:tcW w:type="dxa" w:w="4451"/>
          </w:tcPr>
          <w:p>
            <w:pPr>
              <w:spacing w:after="40" w:before="40"/>
            </w:pPr>
            <w:r>
              <w:rPr>
                <w:rFonts w:ascii="微软雅黑" w:hAnsi="微软雅黑"/>
                <w:sz w:val="20"/>
              </w:rPr>
              <w:t>2</w:t>
            </w:r>
          </w:p>
        </w:tc>
      </w:tr>
    </w:tbl>
    <w:p/>
    <w:p>
      <w:pPr>
        <w:spacing w:line="360" w:lineRule="auto" w:after="120"/>
      </w:pPr>
      <w:r>
        <w:rPr>
          <w:rFonts w:ascii="微软雅黑" w:hAnsi="微软雅黑"/>
          <w:sz w:val="21"/>
        </w:rPr>
        <w:t>#### 图像</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变换</w:t>
            </w:r>
          </w:p>
        </w:tc>
        <w:tc>
          <w:tcPr>
            <w:tcW w:type="dxa" w:w="4451"/>
          </w:tcPr>
          <w:p>
            <w:pPr>
              <w:spacing w:after="40" w:before="40"/>
            </w:pPr>
            <w:r>
              <w:rPr>
                <w:rFonts w:ascii="微软雅黑" w:hAnsi="微软雅黑"/>
                <w:sz w:val="20"/>
              </w:rPr>
              <w:t>使用率</w:t>
            </w:r>
          </w:p>
        </w:tc>
      </w:tr>
      <w:tr>
        <w:tc>
          <w:tcPr>
            <w:tcW w:type="dxa" w:w="4451"/>
          </w:tcPr>
          <w:p>
            <w:pPr>
              <w:spacing w:after="40" w:before="40"/>
            </w:pPr>
            <w:r>
              <w:rPr>
                <w:rFonts w:ascii="微软雅黑" w:hAnsi="微软雅黑"/>
                <w:sz w:val="20"/>
              </w:rPr>
              <w:t>旋转</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调整大小</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生成PDF</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调整对比度</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裁剪 / 切片</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灰度</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地理平铺</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渲染DICOM图像层</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提取文本（OCR）</w:t>
            </w:r>
          </w:p>
        </w:tc>
        <w:tc>
          <w:tcPr>
            <w:tcW w:type="dxa" w:w="4451"/>
          </w:tcPr>
          <w:p>
            <w:pPr>
              <w:spacing w:after="40" w:before="40"/>
            </w:pPr>
            <w:r>
              <w:rPr>
                <w:rFonts w:ascii="微软雅黑" w:hAnsi="微软雅黑"/>
                <w:sz w:val="20"/>
              </w:rPr>
              <w:t>275</w:t>
            </w:r>
          </w:p>
        </w:tc>
      </w:tr>
      <w:tr>
        <w:tc>
          <w:tcPr>
            <w:tcW w:type="dxa" w:w="4451"/>
          </w:tcPr>
          <w:p>
            <w:pPr>
              <w:spacing w:after="40" w:before="40"/>
            </w:pPr>
            <w:r>
              <w:rPr>
                <w:rFonts w:ascii="微软雅黑" w:hAnsi="微软雅黑"/>
                <w:sz w:val="20"/>
              </w:rPr>
              <w:t>加密 / 解密</w:t>
            </w:r>
          </w:p>
        </w:tc>
        <w:tc>
          <w:tcPr>
            <w:tcW w:type="dxa" w:w="4451"/>
          </w:tcPr>
          <w:p>
            <w:pPr>
              <w:spacing w:after="40" w:before="40"/>
            </w:pPr>
            <w:r>
              <w:rPr>
                <w:rFonts w:ascii="微软雅黑" w:hAnsi="微软雅黑"/>
                <w:sz w:val="20"/>
              </w:rPr>
              <w:t>75</w:t>
            </w:r>
          </w:p>
        </w:tc>
      </w:tr>
    </w:tbl>
    <w:p/>
    <w:p>
      <w:pPr>
        <w:spacing w:line="360" w:lineRule="auto" w:after="120"/>
      </w:pPr>
      <w:r>
        <w:rPr>
          <w:rFonts w:ascii="微软雅黑" w:hAnsi="微软雅黑"/>
          <w:sz w:val="21"/>
        </w:rPr>
        <w:t>#### 音频</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变换</w:t>
            </w:r>
          </w:p>
        </w:tc>
        <w:tc>
          <w:tcPr>
            <w:tcW w:type="dxa" w:w="4451"/>
          </w:tcPr>
          <w:p>
            <w:pPr>
              <w:spacing w:after="40" w:before="40"/>
            </w:pPr>
            <w:r>
              <w:rPr>
                <w:rFonts w:ascii="微软雅黑" w:hAnsi="微软雅黑"/>
                <w:sz w:val="20"/>
              </w:rPr>
              <w:t>使用率</w:t>
            </w:r>
          </w:p>
        </w:tc>
      </w:tr>
      <w:tr>
        <w:tc>
          <w:tcPr>
            <w:tcW w:type="dxa" w:w="4451"/>
          </w:tcPr>
          <w:p>
            <w:pPr>
              <w:spacing w:after="40" w:before="40"/>
            </w:pPr>
            <w:r>
              <w:rPr>
                <w:rFonts w:ascii="微软雅黑" w:hAnsi="微软雅黑"/>
                <w:sz w:val="20"/>
              </w:rPr>
              <w:t>转码</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波形生成</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转录</w:t>
            </w:r>
          </w:p>
        </w:tc>
        <w:tc>
          <w:tcPr>
            <w:tcW w:type="dxa" w:w="4451"/>
          </w:tcPr>
          <w:p>
            <w:pPr>
              <w:spacing w:after="40" w:before="40"/>
            </w:pPr>
            <w:r>
              <w:rPr>
                <w:rFonts w:ascii="微软雅黑" w:hAnsi="微软雅黑"/>
                <w:sz w:val="20"/>
              </w:rPr>
              <w:t>275</w:t>
            </w:r>
          </w:p>
        </w:tc>
      </w:tr>
    </w:tbl>
    <w:p/>
    <w:p>
      <w:pPr>
        <w:spacing w:line="360" w:lineRule="auto" w:after="120"/>
      </w:pPr>
      <w:r>
        <w:rPr>
          <w:rFonts w:ascii="微软雅黑" w:hAnsi="微软雅黑"/>
          <w:sz w:val="21"/>
        </w:rPr>
        <w:t>#### 视频</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变换</w:t>
            </w:r>
          </w:p>
        </w:tc>
        <w:tc>
          <w:tcPr>
            <w:tcW w:type="dxa" w:w="4451"/>
          </w:tcPr>
          <w:p>
            <w:pPr>
              <w:spacing w:after="40" w:before="40"/>
            </w:pPr>
            <w:r>
              <w:rPr>
                <w:rFonts w:ascii="微软雅黑" w:hAnsi="微软雅黑"/>
                <w:sz w:val="20"/>
              </w:rPr>
              <w:t>使用率</w:t>
            </w:r>
          </w:p>
        </w:tc>
      </w:tr>
      <w:tr>
        <w:tc>
          <w:tcPr>
            <w:tcW w:type="dxa" w:w="4451"/>
          </w:tcPr>
          <w:p>
            <w:pPr>
              <w:spacing w:after="40" w:before="40"/>
            </w:pPr>
            <w:r>
              <w:rPr>
                <w:rFonts w:ascii="微软雅黑" w:hAnsi="微软雅黑"/>
                <w:sz w:val="20"/>
              </w:rPr>
              <w:t>获取场景帧的时间戳</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提取音频</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在时间戳提取帧</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提取所有场景帧</w:t>
            </w:r>
          </w:p>
        </w:tc>
        <w:tc>
          <w:tcPr>
            <w:tcW w:type="dxa" w:w="4451"/>
          </w:tcPr>
          <w:p>
            <w:pPr>
              <w:spacing w:after="40" w:before="40"/>
            </w:pPr>
            <w:r>
              <w:rPr>
                <w:rFonts w:ascii="微软雅黑" w:hAnsi="微软雅黑"/>
                <w:sz w:val="20"/>
              </w:rPr>
              <w:t>275</w:t>
            </w:r>
          </w:p>
        </w:tc>
      </w:tr>
      <w:tr>
        <w:tc>
          <w:tcPr>
            <w:tcW w:type="dxa" w:w="4451"/>
          </w:tcPr>
          <w:p>
            <w:pPr>
              <w:spacing w:after="40" w:before="40"/>
            </w:pPr>
            <w:r>
              <w:rPr>
                <w:rFonts w:ascii="微软雅黑" w:hAnsi="微软雅黑"/>
                <w:sz w:val="20"/>
              </w:rPr>
              <w:t>使用HLS流式传输</w:t>
            </w:r>
          </w:p>
        </w:tc>
        <w:tc>
          <w:tcPr>
            <w:tcW w:type="dxa" w:w="4451"/>
          </w:tcPr>
          <w:p>
            <w:pPr>
              <w:spacing w:after="40" w:before="40"/>
            </w:pPr>
            <w:r>
              <w:rPr>
                <w:rFonts w:ascii="微软雅黑" w:hAnsi="微软雅黑"/>
                <w:sz w:val="20"/>
              </w:rPr>
              <w:t>275</w:t>
            </w:r>
          </w:p>
        </w:tc>
      </w:tr>
      <w:tr>
        <w:tc>
          <w:tcPr>
            <w:tcW w:type="dxa" w:w="4451"/>
          </w:tcPr>
          <w:p>
            <w:pPr>
              <w:spacing w:after="40" w:before="40"/>
            </w:pPr>
            <w:r>
              <w:rPr>
                <w:rFonts w:ascii="微软雅黑" w:hAnsi="微软雅黑"/>
                <w:sz w:val="20"/>
              </w:rPr>
              <w:t>转码</w:t>
            </w:r>
          </w:p>
        </w:tc>
        <w:tc>
          <w:tcPr>
            <w:tcW w:type="dxa" w:w="4451"/>
          </w:tcPr>
          <w:p>
            <w:pPr>
              <w:spacing w:after="40" w:before="40"/>
            </w:pPr>
            <w:r>
              <w:rPr>
                <w:rFonts w:ascii="微软雅黑" w:hAnsi="微软雅黑"/>
                <w:sz w:val="20"/>
              </w:rPr>
              <w:t>275</w:t>
            </w:r>
          </w:p>
        </w:tc>
      </w:tr>
    </w:tbl>
    <w:p/>
    <w:p>
      <w:pPr>
        <w:spacing w:line="360" w:lineRule="auto" w:after="120"/>
      </w:pPr>
      <w:r>
        <w:rPr>
          <w:rFonts w:ascii="微软雅黑" w:hAnsi="微软雅黑"/>
          <w:sz w:val="21"/>
        </w:rPr>
        <w:t>#### 文档</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变换</w:t>
            </w:r>
          </w:p>
        </w:tc>
        <w:tc>
          <w:tcPr>
            <w:tcW w:type="dxa" w:w="4451"/>
          </w:tcPr>
          <w:p>
            <w:pPr>
              <w:spacing w:after="40" w:before="40"/>
            </w:pPr>
            <w:r>
              <w:rPr>
                <w:rFonts w:ascii="微软雅黑" w:hAnsi="微软雅黑"/>
                <w:sz w:val="20"/>
              </w:rPr>
              <w:t>使用率</w:t>
            </w:r>
          </w:p>
        </w:tc>
      </w:tr>
      <w:tr>
        <w:tc>
          <w:tcPr>
            <w:tcW w:type="dxa" w:w="4451"/>
          </w:tcPr>
          <w:p>
            <w:pPr>
              <w:spacing w:after="40" w:before="40"/>
            </w:pPr>
            <w:r>
              <w:rPr>
                <w:rFonts w:ascii="微软雅黑" w:hAnsi="微软雅黑"/>
                <w:sz w:val="20"/>
              </w:rPr>
              <w:t>将页面渲染为图像</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在边界框内将页面渲染为图像</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获取PDF页面尺寸</w:t>
            </w:r>
          </w:p>
        </w:tc>
        <w:tc>
          <w:tcPr>
            <w:tcW w:type="dxa" w:w="4451"/>
          </w:tcPr>
          <w:p>
            <w:pPr>
              <w:spacing w:after="40" w:before="40"/>
            </w:pPr>
            <w:r>
              <w:rPr>
                <w:rFonts w:ascii="微软雅黑" w:hAnsi="微软雅黑"/>
                <w:sz w:val="20"/>
              </w:rPr>
              <w:t>40</w:t>
            </w:r>
          </w:p>
        </w:tc>
      </w:tr>
      <w:tr>
        <w:tc>
          <w:tcPr>
            <w:tcW w:type="dxa" w:w="4451"/>
          </w:tcPr>
          <w:p>
            <w:pPr>
              <w:spacing w:after="40" w:before="40"/>
            </w:pPr>
            <w:r>
              <w:rPr>
                <w:rFonts w:ascii="微软雅黑" w:hAnsi="微软雅黑"/>
                <w:sz w:val="20"/>
              </w:rPr>
              <w:t>切分PDF范围</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提取表单字段</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提取目录</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提取页面上的文本（原始）</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提取所有文本（原始）</w:t>
            </w:r>
          </w:p>
        </w:tc>
        <w:tc>
          <w:tcPr>
            <w:tcW w:type="dxa" w:w="4451"/>
          </w:tcPr>
          <w:p>
            <w:pPr>
              <w:spacing w:after="40" w:before="40"/>
            </w:pPr>
            <w:r>
              <w:rPr>
                <w:rFonts w:ascii="微软雅黑" w:hAnsi="微软雅黑"/>
                <w:sz w:val="20"/>
              </w:rPr>
              <w:t>75</w:t>
            </w:r>
          </w:p>
        </w:tc>
      </w:tr>
      <w:tr>
        <w:tc>
          <w:tcPr>
            <w:tcW w:type="dxa" w:w="4451"/>
          </w:tcPr>
          <w:p>
            <w:pPr>
              <w:spacing w:after="40" w:before="40"/>
            </w:pPr>
            <w:r>
              <w:rPr>
                <w:rFonts w:ascii="微软雅黑" w:hAnsi="微软雅黑"/>
                <w:sz w:val="20"/>
              </w:rPr>
              <w:t>提取文本（OCR）</w:t>
            </w:r>
          </w:p>
        </w:tc>
        <w:tc>
          <w:tcPr>
            <w:tcW w:type="dxa" w:w="4451"/>
          </w:tcPr>
          <w:p>
            <w:pPr>
              <w:spacing w:after="40" w:before="40"/>
            </w:pPr>
            <w:r>
              <w:rPr>
                <w:rFonts w:ascii="微软雅黑" w:hAnsi="微软雅黑"/>
                <w:sz w:val="20"/>
              </w:rPr>
              <w:t>275</w:t>
            </w:r>
          </w:p>
        </w:tc>
      </w:tr>
    </w:tbl>
    <w:p/>
    <w:p>
      <w:pPr>
        <w:pStyle w:val="Heading2"/>
      </w:pPr>
      <w:r>
        <w:rPr>
          <w:rFonts w:ascii="微软雅黑" w:hAnsi="微软雅黑"/>
        </w:rPr>
        <w:t>媒体集限制</w:t>
      </w:r>
    </w:p>
    <w:p>
      <w:pPr>
        <w:pStyle w:val="ListBullet"/>
        <w:spacing w:line="360" w:lineRule="auto" w:after="120"/>
      </w:pPr>
      <w:r>
        <w:rPr>
          <w:rFonts w:ascii="微软雅黑" w:hAnsi="微软雅黑"/>
          <w:sz w:val="21"/>
        </w:rPr>
        <w:t>事务性媒体集每个事务的项目限制为10,000个。</w:t>
      </w:r>
    </w:p>
    <w:p>
      <w:pPr>
        <w:pStyle w:val="ListBullet"/>
        <w:spacing w:line="360" w:lineRule="auto" w:after="120"/>
      </w:pPr>
      <w:r>
        <w:rPr>
          <w:rFonts w:ascii="微软雅黑" w:hAnsi="微软雅黑"/>
          <w:sz w:val="21"/>
        </w:rPr>
        <w:t>非事务性媒体集没有项目限制。</w:t>
      </w:r>
    </w:p>
    <w:p>
      <w:pPr>
        <w:pStyle w:val="ListBullet"/>
        <w:spacing w:line="360" w:lineRule="auto" w:after="120"/>
      </w:pPr>
      <w:r>
        <w:rPr>
          <w:rFonts w:ascii="微软雅黑" w:hAnsi="微软雅黑"/>
          <w:sz w:val="21"/>
        </w:rPr>
        <w:t>媒体集中项目的路径不能超过256个字符。尝试将路径长度超过256个字符的项目添加到媒体集中将导致</w:t>
      </w:r>
      <w:r>
        <w:rPr>
          <w:rFonts w:ascii="Consolas" w:hAnsi="Consolas"/>
          <w:color w:val="B43C3C"/>
          <w:sz w:val="18"/>
        </w:rPr>
        <w:t>MediaSet:MediaItemPathInvalid</w:t>
      </w:r>
      <w:r>
        <w:rPr>
          <w:rFonts w:ascii="微软雅黑" w:hAnsi="微软雅黑"/>
          <w:sz w:val="21"/>
        </w:rPr>
        <w:t>错误。</w:t>
      </w:r>
    </w:p>
    <w:p>
      <w:r>
        <w:br w:type="page"/>
      </w:r>
    </w:p>
    <w:p>
      <w:pPr>
        <w:pStyle w:val="Heading1"/>
      </w:pPr>
      <w:r>
        <w:rPr>
          <w:rFonts w:ascii="微软雅黑" w:hAnsi="微软雅黑"/>
        </w:rPr>
        <w:t>重置流</w:t>
      </w:r>
    </w:p>
    <w:p>
      <w:pPr>
        <w:spacing w:line="360" w:lineRule="auto" w:after="120"/>
      </w:pPr>
      <w:r>
        <w:rPr>
          <w:rFonts w:ascii="微软雅黑" w:hAnsi="微软雅黑"/>
          <w:sz w:val="21"/>
        </w:rPr>
        <w:t># 重置流</w:t>
      </w:r>
    </w:p>
    <w:p>
      <w:pPr>
        <w:spacing w:line="360" w:lineRule="auto" w:after="120"/>
      </w:pPr>
      <w:r>
        <w:rPr>
          <w:rFonts w:ascii="微软雅黑" w:hAnsi="微软雅黑"/>
          <w:sz w:val="21"/>
        </w:rPr>
        <w:t>重置导入流会清除流中的现有记录，并提供更改流的模式、吞吐量和配置值的机会。这在流管道开发过程中非常有用，因为您可以清除和更新导入流而无需替换管道构建器管道中的现有流引用。</w:t>
      </w:r>
    </w:p>
    <w:p>
      <w:pPr>
        <w:spacing w:line="360" w:lineRule="auto" w:after="120"/>
      </w:pPr>
      <w:r>
        <w:rPr>
          <w:rFonts w:ascii="微软雅黑" w:hAnsi="微软雅黑"/>
          <w:sz w:val="21"/>
        </w:rPr>
        <w:t>请注意，重置仅适用于导入流。导入流的下游消费管道必须在重置后重新播放。</w:t>
      </w:r>
    </w:p>
    <w:p>
      <w:pPr>
        <w:pStyle w:val="ListBullet"/>
        <w:spacing w:line="360" w:lineRule="auto" w:after="120"/>
      </w:pPr>
      <w:r>
        <w:rPr>
          <w:rFonts w:ascii="微软雅黑" w:hAnsi="微软雅黑"/>
          <w:color w:val="0066CC"/>
          <w:sz w:val="21"/>
          <w:u w:val="single"/>
        </w:rPr>
        <w:t>基于推送的导入</w:t>
      </w:r>
      <w:r>
        <w:rPr>
          <w:rFonts w:ascii="微软雅黑" w:hAnsi="微软雅黑"/>
          <w:sz w:val="21"/>
        </w:rPr>
        <w:t>需要更新POST URL以引用新的流</w:t>
      </w:r>
      <w:r>
        <w:rPr>
          <w:rFonts w:ascii="Consolas" w:hAnsi="Consolas"/>
          <w:color w:val="B43C3C"/>
          <w:sz w:val="18"/>
        </w:rPr>
        <w:t>viewRid</w:t>
      </w:r>
      <w:r>
        <w:rPr>
          <w:rFonts w:ascii="微软雅黑" w:hAnsi="微软雅黑"/>
          <w:sz w:val="21"/>
        </w:rPr>
        <w:t>值。</w:t>
      </w:r>
    </w:p>
    <w:p>
      <w:pPr>
        <w:pStyle w:val="ListBullet"/>
        <w:spacing w:line="360" w:lineRule="auto" w:after="120"/>
      </w:pPr>
      <w:r>
        <w:rPr>
          <w:rFonts w:ascii="微软雅黑" w:hAnsi="微软雅黑"/>
          <w:color w:val="0066CC"/>
          <w:sz w:val="21"/>
          <w:u w:val="single"/>
        </w:rPr>
        <w:t>基于Magritte的导入</w:t>
      </w:r>
      <w:r>
        <w:rPr>
          <w:rFonts w:ascii="微软雅黑" w:hAnsi="微软雅黑"/>
          <w:sz w:val="21"/>
        </w:rPr>
        <w:t>需要重新搭建代理。</w:t>
      </w:r>
    </w:p>
    <w:p>
      <w:pPr>
        <w:spacing w:line="360" w:lineRule="auto" w:after="120"/>
      </w:pPr>
      <w:r>
        <w:rPr>
          <w:rFonts w:ascii="微软雅黑" w:hAnsi="微软雅黑"/>
          <w:sz w:val="21"/>
        </w:rPr>
        <w:t>重置流可能对数据产生不可逆的影响。我们不建议重置生产导入流，因为现有记录将会丢失。</w:t>
      </w:r>
    </w:p>
    <w:p>
      <w:pPr>
        <w:spacing w:line="360" w:lineRule="auto" w:after="120"/>
      </w:pPr>
      <w:r>
        <w:rPr>
          <w:rFonts w:ascii="微软雅黑" w:hAnsi="微软雅黑"/>
          <w:sz w:val="21"/>
        </w:rPr>
        <w:t>要重置流，请按照以下说明操作：</w:t>
      </w:r>
    </w:p>
    <w:p>
      <w:pPr>
        <w:pStyle w:val="ListNumber"/>
        <w:spacing w:line="360" w:lineRule="auto" w:after="120"/>
      </w:pPr>
      <w:r>
        <w:rPr>
          <w:rFonts w:ascii="微软雅黑" w:hAnsi="微软雅黑"/>
          <w:sz w:val="21"/>
        </w:rPr>
        <w:t>打开一个导入流。</w:t>
      </w:r>
    </w:p>
    <w:p>
      <w:pPr>
        <w:pStyle w:val="ListNumber"/>
        <w:spacing w:line="360" w:lineRule="auto" w:after="120"/>
      </w:pPr>
      <w:r>
        <w:rPr>
          <w:rFonts w:ascii="微软雅黑" w:hAnsi="微软雅黑"/>
          <w:sz w:val="21"/>
        </w:rPr>
        <w:t xml:space="preserve">选择 </w:t>
      </w:r>
      <w:r>
        <w:rPr>
          <w:rFonts w:ascii="微软雅黑" w:hAnsi="微软雅黑"/>
          <w:b/>
          <w:sz w:val="21"/>
        </w:rPr>
        <w:t>详情</w:t>
      </w:r>
      <w:r>
        <w:rPr>
          <w:rFonts w:ascii="微软雅黑" w:hAnsi="微软雅黑"/>
          <w:sz w:val="21"/>
        </w:rPr>
        <w:t xml:space="preserve"> 标签。</w:t>
      </w:r>
    </w:p>
    <w:p>
      <w:pPr>
        <w:pStyle w:val="ListNumber"/>
        <w:spacing w:line="360" w:lineRule="auto" w:after="120"/>
      </w:pPr>
      <w:r>
        <w:rPr>
          <w:rFonts w:ascii="微软雅黑" w:hAnsi="微软雅黑"/>
          <w:sz w:val="21"/>
        </w:rPr>
        <w:t xml:space="preserve">在 </w:t>
      </w:r>
      <w:r>
        <w:rPr>
          <w:rFonts w:ascii="微软雅黑" w:hAnsi="微软雅黑"/>
          <w:b/>
          <w:sz w:val="21"/>
        </w:rPr>
        <w:t>关于</w:t>
      </w:r>
      <w:r>
        <w:rPr>
          <w:rFonts w:ascii="微软雅黑" w:hAnsi="微软雅黑"/>
          <w:sz w:val="21"/>
        </w:rPr>
        <w:t xml:space="preserve"> 部分，选择 </w:t>
      </w:r>
      <w:r>
        <w:rPr>
          <w:rFonts w:ascii="微软雅黑" w:hAnsi="微软雅黑"/>
          <w:b/>
          <w:sz w:val="21"/>
        </w:rPr>
        <w:t>重置流</w:t>
      </w:r>
      <w:r>
        <w:rPr>
          <w:rFonts w:ascii="微软雅黑" w:hAnsi="微软雅黑"/>
          <w:sz w:val="21"/>
        </w:rPr>
        <w:t>。</w:t>
      </w:r>
    </w:p>
    <w:p>
      <w:pPr>
        <w:spacing w:line="360" w:lineRule="auto" w:after="120"/>
      </w:pPr>
      <w:r>
        <w:rPr>
          <w:rFonts w:ascii="微软雅黑" w:hAnsi="微软雅黑"/>
          <w:sz w:val="21"/>
        </w:rPr>
        <w:t>&lt;img alt="流连接详情。" src="../../foundry-docs/data-integration/media/reset-stream-open.png"&gt;</w:t>
      </w:r>
    </w:p>
    <w:p>
      <w:pPr>
        <w:pStyle w:val="ListNumber"/>
        <w:spacing w:line="360" w:lineRule="auto" w:after="120"/>
      </w:pPr>
      <w:r>
        <w:rPr>
          <w:rFonts w:ascii="微软雅黑" w:hAnsi="微软雅黑"/>
          <w:sz w:val="21"/>
        </w:rPr>
        <w:t>您将被重定向到流重置页面。在此页面上，您可以非必填更新模式、吞吐量或配置值。如果您只想清除流中的数据，请保持这些部分不变。</w:t>
      </w:r>
    </w:p>
    <w:p>
      <w:pPr>
        <w:spacing w:line="360" w:lineRule="auto" w:after="120"/>
      </w:pPr>
      <w:r>
        <w:rPr>
          <w:rFonts w:ascii="微软雅黑" w:hAnsi="微软雅黑"/>
          <w:sz w:val="21"/>
        </w:rPr>
        <w:t>&lt;img alt="流连接重置视图。" src="../../foundry-docs/data-integration/media/reset-stream-page.png"&gt;</w:t>
      </w:r>
    </w:p>
    <w:p>
      <w:pPr>
        <w:pStyle w:val="ListNumber"/>
        <w:spacing w:line="360" w:lineRule="auto" w:after="120"/>
      </w:pPr>
      <w:r>
        <w:rPr>
          <w:rFonts w:ascii="微软雅黑" w:hAnsi="微软雅黑"/>
          <w:sz w:val="21"/>
        </w:rPr>
        <w:t xml:space="preserve">选择 </w:t>
      </w:r>
      <w:r>
        <w:rPr>
          <w:rFonts w:ascii="微软雅黑" w:hAnsi="微软雅黑"/>
          <w:b/>
          <w:sz w:val="21"/>
        </w:rPr>
        <w:t>重置流</w:t>
      </w:r>
      <w:r>
        <w:rPr>
          <w:rFonts w:ascii="微软雅黑" w:hAnsi="微软雅黑"/>
          <w:sz w:val="21"/>
        </w:rPr>
        <w:t xml:space="preserve"> 以启动流重置。</w:t>
      </w:r>
    </w:p>
    <w:p>
      <w:r>
        <w:br w:type="page"/>
      </w:r>
    </w:p>
    <w:p>
      <w:pPr>
        <w:pStyle w:val="Heading1"/>
      </w:pPr>
      <w:r>
        <w:rPr>
          <w:rFonts w:ascii="微软雅黑" w:hAnsi="微软雅黑"/>
        </w:rPr>
        <w:t>调度</w:t>
      </w:r>
    </w:p>
    <w:p>
      <w:pPr>
        <w:spacing w:line="360" w:lineRule="auto" w:after="120"/>
      </w:pPr>
      <w:r>
        <w:rPr>
          <w:rFonts w:ascii="微软雅黑" w:hAnsi="微软雅黑"/>
          <w:sz w:val="21"/>
        </w:rPr>
        <w:t># 调度</w:t>
      </w:r>
    </w:p>
    <w:p>
      <w:r>
        <w:rPr>
          <w:rFonts w:ascii="微软雅黑" w:hAnsi="微软雅黑"/>
          <w:b/>
        </w:rPr>
        <w:t>调度</w:t>
      </w:r>
      <w:r>
        <w:rPr>
          <w:rFonts w:ascii="微软雅黑" w:hAnsi="微软雅黑"/>
        </w:rPr>
        <w:t>：用于定期运行[搭建](/zh/foundry/data-integration/builds/)，以确保数据在Foundry中持续流动。在调度中，**触发器**定义了必须满足的条件才能运行相关的搭建。</w:t>
      </w:r>
    </w:p>
    <w:p>
      <w:pPr>
        <w:spacing w:line="360" w:lineRule="auto" w:after="120"/>
      </w:pPr>
      <w:r>
        <w:rPr>
          <w:rFonts w:ascii="微软雅黑" w:hAnsi="微软雅黑"/>
          <w:sz w:val="21"/>
        </w:rPr>
        <w:t>当触发器满足条件并执行搭建时，我们称之为调度</w:t>
      </w:r>
      <w:r>
        <w:rPr>
          <w:rFonts w:ascii="微软雅黑" w:hAnsi="微软雅黑"/>
          <w:b/>
          <w:sz w:val="21"/>
        </w:rPr>
        <w:t>运行</w:t>
      </w:r>
      <w:r>
        <w:rPr>
          <w:rFonts w:ascii="微软雅黑" w:hAnsi="微软雅黑"/>
          <w:sz w:val="21"/>
        </w:rPr>
        <w:t>。如果在上一次运行仍在操作中时触发了一个调度，那么它将保持触发状态，并仅在上一个调度完成后运行。</w:t>
      </w:r>
    </w:p>
    <w:p>
      <w:pPr>
        <w:spacing w:line="360" w:lineRule="auto" w:after="120"/>
      </w:pPr>
      <w:r>
        <w:rPr>
          <w:rFonts w:ascii="微软雅黑" w:hAnsi="微软雅黑"/>
          <w:sz w:val="21"/>
        </w:rPr>
        <w:t>运行历史记录提供了调度何时运行的记录以及每次运行中执行的任务的信息。调度运行可以是以下几种类型之一：</w:t>
      </w:r>
    </w:p>
    <w:p>
      <w:pPr>
        <w:pStyle w:val="ListBullet"/>
        <w:spacing w:line="360" w:lineRule="auto" w:after="120"/>
      </w:pPr>
      <w:r>
        <w:rPr>
          <w:rFonts w:ascii="微软雅黑" w:hAnsi="微软雅黑"/>
          <w:b/>
          <w:sz w:val="21"/>
        </w:rPr>
        <w:t>成功</w:t>
      </w:r>
      <w:r>
        <w:rPr>
          <w:rFonts w:ascii="微软雅黑" w:hAnsi="微软雅黑"/>
          <w:sz w:val="21"/>
        </w:rPr>
        <w:t>。运行成功启动了一个搭建。请注意，成功的运行仅表示搭建成功启动。搭建本身可能仍在运行，或者可能已失败。</w:t>
      </w:r>
    </w:p>
    <w:p>
      <w:pPr>
        <w:pStyle w:val="ListBullet"/>
        <w:spacing w:line="360" w:lineRule="auto" w:after="120"/>
      </w:pPr>
      <w:r>
        <w:rPr>
          <w:rFonts w:ascii="微软雅黑" w:hAnsi="微软雅黑"/>
          <w:b/>
          <w:sz w:val="21"/>
        </w:rPr>
        <w:t>忽略</w:t>
      </w:r>
      <w:r>
        <w:rPr>
          <w:rFonts w:ascii="微软雅黑" w:hAnsi="微软雅黑"/>
          <w:sz w:val="21"/>
        </w:rPr>
        <w:t>。尝试了运行，但没有创建搭建。被忽略的运行可能表示一切都是最新的，没有需要做的工作。有关更多详细信息，请参阅</w:t>
      </w:r>
      <w:r>
        <w:rPr>
          <w:rFonts w:ascii="微软雅黑" w:hAnsi="微软雅黑"/>
          <w:color w:val="0066CC"/>
          <w:sz w:val="21"/>
          <w:u w:val="single"/>
        </w:rPr>
        <w:t>陈旧性</w:t>
      </w:r>
      <w:r>
        <w:rPr>
          <w:rFonts w:ascii="微软雅黑" w:hAnsi="微软雅黑"/>
          <w:sz w:val="21"/>
        </w:rPr>
        <w:t>。</w:t>
      </w:r>
    </w:p>
    <w:p>
      <w:pPr>
        <w:pStyle w:val="ListBullet"/>
        <w:spacing w:line="360" w:lineRule="auto" w:after="120"/>
      </w:pPr>
      <w:r>
        <w:rPr>
          <w:rFonts w:ascii="微软雅黑" w:hAnsi="微软雅黑"/>
          <w:b/>
          <w:sz w:val="21"/>
        </w:rPr>
        <w:t>失败</w:t>
      </w:r>
      <w:r>
        <w:rPr>
          <w:rFonts w:ascii="微软雅黑" w:hAnsi="微软雅黑"/>
          <w:sz w:val="21"/>
        </w:rPr>
        <w:t>。调度运行失败。</w:t>
      </w:r>
    </w:p>
    <w:p>
      <w:pPr>
        <w:spacing w:line="360" w:lineRule="auto" w:after="120"/>
      </w:pPr>
      <w:r>
        <w:rPr>
          <w:rFonts w:ascii="微软雅黑" w:hAnsi="微软雅黑"/>
          <w:sz w:val="21"/>
        </w:rPr>
        <w:t>要了解有关调度的更多信息，请参考以下资源：</w:t>
      </w:r>
    </w:p>
    <w:p>
      <w:pPr>
        <w:pStyle w:val="ListBullet"/>
        <w:spacing w:line="360" w:lineRule="auto" w:after="120"/>
      </w:pPr>
      <w:r>
        <w:rPr>
          <w:rFonts w:ascii="微软雅黑" w:hAnsi="微软雅黑"/>
          <w:sz w:val="21"/>
        </w:rPr>
        <w:t>学习</w:t>
      </w:r>
      <w:r>
        <w:rPr>
          <w:rFonts w:ascii="微软雅黑" w:hAnsi="微软雅黑"/>
          <w:color w:val="0066CC"/>
          <w:sz w:val="21"/>
          <w:u w:val="single"/>
        </w:rPr>
        <w:t>创建调度</w:t>
      </w:r>
      <w:r>
        <w:rPr>
          <w:rFonts w:ascii="微软雅黑" w:hAnsi="微软雅黑"/>
          <w:sz w:val="21"/>
        </w:rPr>
        <w:t>。</w:t>
      </w:r>
    </w:p>
    <w:p>
      <w:pPr>
        <w:pStyle w:val="ListBullet"/>
        <w:spacing w:line="360" w:lineRule="auto" w:after="120"/>
      </w:pPr>
      <w:r>
        <w:rPr>
          <w:rFonts w:ascii="微软雅黑" w:hAnsi="微软雅黑"/>
          <w:sz w:val="21"/>
        </w:rPr>
        <w:t>了解</w:t>
      </w:r>
      <w:r>
        <w:rPr>
          <w:rFonts w:ascii="微软雅黑" w:hAnsi="微软雅黑"/>
          <w:color w:val="0066CC"/>
          <w:sz w:val="21"/>
          <w:u w:val="single"/>
        </w:rPr>
        <w:t>调度最佳实践</w:t>
      </w:r>
      <w:r>
        <w:rPr>
          <w:rFonts w:ascii="微软雅黑" w:hAnsi="微软雅黑"/>
          <w:sz w:val="21"/>
        </w:rPr>
        <w:t>。</w:t>
      </w:r>
    </w:p>
    <w:p>
      <w:pPr>
        <w:pStyle w:val="ListBullet"/>
        <w:spacing w:line="360" w:lineRule="auto" w:after="120"/>
      </w:pPr>
      <w:r>
        <w:rPr>
          <w:rFonts w:ascii="微软雅黑" w:hAnsi="微软雅黑"/>
          <w:sz w:val="21"/>
        </w:rPr>
        <w:t>探索</w:t>
      </w:r>
      <w:r>
        <w:rPr>
          <w:rFonts w:ascii="微软雅黑" w:hAnsi="微软雅黑"/>
          <w:color w:val="0066CC"/>
          <w:sz w:val="21"/>
          <w:u w:val="single"/>
        </w:rPr>
        <w:t>可用的触发器类型</w:t>
      </w:r>
      <w:r>
        <w:rPr>
          <w:rFonts w:ascii="微软雅黑" w:hAnsi="微软雅黑"/>
          <w:sz w:val="21"/>
        </w:rPr>
        <w:t>。</w:t>
      </w:r>
    </w:p>
    <w:p>
      <w:pPr>
        <w:pStyle w:val="Heading3"/>
      </w:pPr>
      <w:r>
        <w:rPr>
          <w:rFonts w:ascii="微软雅黑" w:hAnsi="微软雅黑"/>
        </w:rPr>
        <w:t>查找和管理调度</w:t>
      </w:r>
    </w:p>
    <w:p>
      <w:pPr>
        <w:spacing w:line="360" w:lineRule="auto" w:after="120"/>
      </w:pPr>
      <w:r>
        <w:rPr>
          <w:rFonts w:ascii="微软雅黑" w:hAnsi="微软雅黑"/>
          <w:sz w:val="21"/>
        </w:rPr>
        <w:t>调度可以在</w:t>
      </w:r>
      <w:r>
        <w:rPr>
          <w:rFonts w:ascii="微软雅黑" w:hAnsi="微软雅黑"/>
          <w:color w:val="0066CC"/>
          <w:sz w:val="21"/>
          <w:u w:val="single"/>
        </w:rPr>
        <w:t>数据沿袭</w:t>
      </w:r>
      <w:r>
        <w:rPr>
          <w:rFonts w:ascii="微软雅黑" w:hAnsi="微软雅黑"/>
          <w:sz w:val="21"/>
        </w:rPr>
        <w:t>应用程序的调度侧边栏中进行编辑、管理和更新。围绕查找调度的工作流可以在</w:t>
      </w:r>
      <w:r>
        <w:rPr>
          <w:rFonts w:ascii="微软雅黑" w:hAnsi="微软雅黑"/>
          <w:b/>
          <w:sz w:val="21"/>
        </w:rPr>
        <w:t>搭建调度</w:t>
      </w:r>
      <w:r>
        <w:rPr>
          <w:rFonts w:ascii="微软雅黑" w:hAnsi="微软雅黑"/>
          <w:sz w:val="21"/>
        </w:rPr>
        <w:t>应用程序中进行，该应用程序可以从您的应用程序侧边栏中获得。您可以运行的查询包括但不限于以下内容：</w:t>
      </w:r>
    </w:p>
    <w:p>
      <w:pPr>
        <w:pStyle w:val="ListBullet"/>
        <w:spacing w:line="360" w:lineRule="auto" w:after="120"/>
      </w:pPr>
      <w:r>
        <w:rPr>
          <w:rFonts w:ascii="微软雅黑" w:hAnsi="微软雅黑"/>
          <w:sz w:val="21"/>
        </w:rPr>
        <w:t>“由某用户暂停的调度”</w:t>
      </w:r>
    </w:p>
    <w:p>
      <w:pPr>
        <w:pStyle w:val="ListBullet"/>
        <w:spacing w:line="360" w:lineRule="auto" w:after="120"/>
      </w:pPr>
      <w:r>
        <w:rPr>
          <w:rFonts w:ascii="微软雅黑" w:hAnsi="微软雅黑"/>
          <w:sz w:val="21"/>
        </w:rPr>
        <w:t>“查找限定于某个项目的调度，按名称筛选，并按最新运行排序”</w:t>
      </w:r>
    </w:p>
    <w:p>
      <w:pPr>
        <w:pStyle w:val="ListBullet"/>
        <w:spacing w:line="360" w:lineRule="auto" w:after="120"/>
      </w:pPr>
      <w:r>
        <w:rPr>
          <w:rFonts w:ascii="微软雅黑" w:hAnsi="微软雅黑"/>
          <w:sz w:val="21"/>
        </w:rPr>
        <w:t>“查找名称中包含'TESTING\_PROJECT\_1'的调度”</w:t>
      </w:r>
    </w:p>
    <w:p>
      <w:pPr>
        <w:pStyle w:val="ListBullet"/>
        <w:spacing w:line="360" w:lineRule="auto" w:after="120"/>
      </w:pPr>
      <w:r>
        <w:rPr>
          <w:rFonts w:ascii="微软雅黑" w:hAnsi="微软雅黑"/>
          <w:sz w:val="21"/>
        </w:rPr>
        <w:t>“查找暂停的调度”</w:t>
      </w:r>
    </w:p>
    <w:p>
      <w:pPr>
        <w:spacing w:line="360" w:lineRule="auto" w:after="120"/>
      </w:pPr>
      <w:r>
        <w:rPr>
          <w:rFonts w:ascii="微软雅黑" w:hAnsi="微软雅黑"/>
          <w:sz w:val="21"/>
        </w:rPr>
        <w:t>您可以使用以下搜索标准：</w:t>
      </w:r>
    </w:p>
    <w:p>
      <w:pPr>
        <w:pStyle w:val="ListBullet"/>
        <w:spacing w:line="360" w:lineRule="auto" w:after="120"/>
      </w:pPr>
      <w:r>
        <w:rPr>
          <w:rFonts w:ascii="微软雅黑" w:hAnsi="微软雅黑"/>
          <w:sz w:val="21"/>
        </w:rPr>
        <w:t>\*\*文件：\*\*按Foundry中它们搭建的数据集或其他资产查找调度。如果未指定分支，将使用默认分支。</w:t>
      </w:r>
    </w:p>
    <w:p>
      <w:pPr>
        <w:pStyle w:val="ListBullet"/>
        <w:spacing w:line="360" w:lineRule="auto" w:after="120"/>
      </w:pPr>
      <w:r>
        <w:rPr>
          <w:rFonts w:ascii="微软雅黑" w:hAnsi="微软雅黑"/>
          <w:sz w:val="21"/>
        </w:rPr>
        <w:t>\*\*用户：\*\*按选择的用户查找最近更新的调度。</w:t>
      </w:r>
    </w:p>
    <w:p>
      <w:pPr>
        <w:pStyle w:val="ListBullet"/>
        <w:spacing w:line="360" w:lineRule="auto" w:after="120"/>
      </w:pPr>
      <w:r>
        <w:rPr>
          <w:rFonts w:ascii="微软雅黑" w:hAnsi="微软雅黑"/>
          <w:sz w:val="21"/>
        </w:rPr>
        <w:t>\*\*项目：\*\*查找限定于特定项目的项目范围调度。目前在此参数中不支持用户范围调度。</w:t>
      </w:r>
    </w:p>
    <w:p>
      <w:pPr>
        <w:spacing w:line="360" w:lineRule="auto" w:after="120"/>
      </w:pPr>
      <w:r>
        <w:rPr>
          <w:rFonts w:ascii="微软雅黑" w:hAnsi="微软雅黑"/>
          <w:sz w:val="21"/>
        </w:rPr>
        <w:t>进入页面时，您将首先看到自己的调度。然后，您可以按名称筛选调度、暂停或排序。搜索参数存储在页面链接中，允许您书签页面或与其他用户共享链接。</w:t>
      </w:r>
    </w:p>
    <w:p>
      <w:pPr>
        <w:spacing w:line="360" w:lineRule="auto" w:after="120"/>
      </w:pPr>
      <w:r>
        <w:rPr>
          <w:rFonts w:ascii="微软雅黑" w:hAnsi="微软雅黑"/>
          <w:sz w:val="21"/>
        </w:rPr>
        <w:t>调度列表可以通过</w:t>
      </w:r>
      <w:r>
        <w:rPr>
          <w:rFonts w:ascii="微软雅黑" w:hAnsi="微软雅黑"/>
          <w:b/>
          <w:sz w:val="21"/>
        </w:rPr>
        <w:t>调度名称</w:t>
      </w:r>
      <w:r>
        <w:rPr>
          <w:rFonts w:ascii="微软雅黑" w:hAnsi="微软雅黑"/>
          <w:sz w:val="21"/>
        </w:rPr>
        <w:t>（如果调度上存在）和</w:t>
      </w:r>
      <w:r>
        <w:rPr>
          <w:rFonts w:ascii="微软雅黑" w:hAnsi="微软雅黑"/>
          <w:b/>
          <w:sz w:val="21"/>
        </w:rPr>
        <w:t>暂停状态</w:t>
      </w:r>
      <w:r>
        <w:rPr>
          <w:rFonts w:ascii="微软雅黑" w:hAnsi="微软雅黑"/>
          <w:sz w:val="21"/>
        </w:rPr>
        <w:t>进一步细化。还可以按调度的</w:t>
      </w:r>
      <w:r>
        <w:rPr>
          <w:rFonts w:ascii="微软雅黑" w:hAnsi="微软雅黑"/>
          <w:b/>
          <w:sz w:val="21"/>
        </w:rPr>
        <w:t>名称</w:t>
      </w:r>
      <w:r>
        <w:rPr>
          <w:rFonts w:ascii="微软雅黑" w:hAnsi="微软雅黑"/>
          <w:sz w:val="21"/>
        </w:rPr>
        <w:t>、</w:t>
      </w:r>
      <w:r>
        <w:rPr>
          <w:rFonts w:ascii="微软雅黑" w:hAnsi="微软雅黑"/>
          <w:b/>
          <w:sz w:val="21"/>
        </w:rPr>
        <w:t>创建日期</w:t>
      </w:r>
      <w:r>
        <w:rPr>
          <w:rFonts w:ascii="微软雅黑" w:hAnsi="微软雅黑"/>
          <w:sz w:val="21"/>
        </w:rPr>
        <w:t>、</w:t>
      </w:r>
      <w:r>
        <w:rPr>
          <w:rFonts w:ascii="微软雅黑" w:hAnsi="微软雅黑"/>
          <w:b/>
          <w:sz w:val="21"/>
        </w:rPr>
        <w:t>最后运行日期</w:t>
      </w:r>
      <w:r>
        <w:rPr>
          <w:rFonts w:ascii="微软雅黑" w:hAnsi="微软雅黑"/>
          <w:sz w:val="21"/>
        </w:rPr>
        <w:t>或</w:t>
      </w:r>
      <w:r>
        <w:rPr>
          <w:rFonts w:ascii="微软雅黑" w:hAnsi="微软雅黑"/>
          <w:b/>
          <w:sz w:val="21"/>
        </w:rPr>
        <w:t>最后更新日期</w:t>
      </w:r>
      <w:r>
        <w:rPr>
          <w:rFonts w:ascii="微软雅黑" w:hAnsi="微软雅黑"/>
          <w:sz w:val="21"/>
        </w:rPr>
        <w:t>进行排序。</w:t>
      </w:r>
    </w:p>
    <w:p>
      <w:pPr>
        <w:pStyle w:val="Heading3"/>
      </w:pPr>
      <w:r>
        <w:rPr>
          <w:rFonts w:ascii="微软雅黑" w:hAnsi="微软雅黑"/>
        </w:rPr>
        <w:t>暂停调度</w:t>
      </w:r>
    </w:p>
    <w:p>
      <w:pPr>
        <w:spacing w:line="360" w:lineRule="auto" w:after="120"/>
      </w:pPr>
      <w:r>
        <w:rPr>
          <w:rFonts w:ascii="微软雅黑" w:hAnsi="微软雅黑"/>
          <w:sz w:val="21"/>
        </w:rPr>
        <w:t>可以</w:t>
      </w:r>
      <w:r>
        <w:rPr>
          <w:rFonts w:ascii="微软雅黑" w:hAnsi="微软雅黑"/>
          <w:color w:val="0066CC"/>
          <w:sz w:val="21"/>
          <w:u w:val="single"/>
        </w:rPr>
        <w:t>暂停</w:t>
      </w:r>
      <w:r>
        <w:rPr>
          <w:rFonts w:ascii="微软雅黑" w:hAnsi="微软雅黑"/>
          <w:sz w:val="21"/>
        </w:rPr>
        <w:t>调度，以暂时防止其运行。</w:t>
      </w:r>
    </w:p>
    <w:p>
      <w:pPr>
        <w:spacing w:line="360" w:lineRule="auto" w:after="120"/>
      </w:pPr>
      <w:r>
        <w:rPr>
          <w:rFonts w:ascii="微软雅黑" w:hAnsi="微软雅黑"/>
          <w:sz w:val="21"/>
        </w:rPr>
        <w:t>当调度暂停时，其触发器状态将被重置，所有观察到的事件将被遗忘。调度暂停时，无法触发，并且将忽略所有观察到的事件。</w:t>
      </w:r>
    </w:p>
    <w:p>
      <w:pPr>
        <w:spacing w:line="360" w:lineRule="auto" w:after="120"/>
      </w:pPr>
      <w:r>
        <w:rPr>
          <w:rFonts w:ascii="微软雅黑" w:hAnsi="微软雅黑"/>
          <w:sz w:val="21"/>
        </w:rPr>
        <w:t>可以</w:t>
      </w:r>
      <w:r>
        <w:rPr>
          <w:rFonts w:ascii="微软雅黑" w:hAnsi="微软雅黑"/>
          <w:color w:val="0066CC"/>
          <w:sz w:val="21"/>
          <w:u w:val="single"/>
        </w:rPr>
        <w:t>恢复</w:t>
      </w:r>
      <w:r>
        <w:rPr>
          <w:rFonts w:ascii="微软雅黑" w:hAnsi="微软雅黑"/>
          <w:sz w:val="21"/>
        </w:rPr>
        <w:t>暂停的调度，以允许其重新开始运行。</w:t>
      </w:r>
    </w:p>
    <w:p>
      <w:pPr>
        <w:pStyle w:val="Heading3"/>
      </w:pPr>
      <w:r>
        <w:rPr>
          <w:rFonts w:ascii="微软雅黑" w:hAnsi="微软雅黑"/>
        </w:rPr>
        <w:t>项目范围</w:t>
      </w:r>
    </w:p>
    <w:p>
      <w:pPr>
        <w:spacing w:line="360" w:lineRule="auto" w:after="120"/>
      </w:pPr>
      <w:r>
        <w:rPr>
          <w:rFonts w:ascii="微软雅黑" w:hAnsi="微软雅黑"/>
          <w:sz w:val="21"/>
        </w:rPr>
        <w:t>调度有权搭建的数据集是由调度是使用用户对数据集的权限保存的，还是使用包含所搭建数据集的项目集合保存的来决定的。前者（用户模式）如果用户的权限发生变化，由于调度运行时就像用户在运行搭建一样，容易发生意外更改。后者（项目范围模式）更为一致，因为调度独立于用户权限运行，只有在调度所范围的项目集合更改时才会更改。</w:t>
      </w:r>
    </w:p>
    <w:p>
      <w:r>
        <w:br w:type="page"/>
      </w:r>
    </w:p>
    <w:p>
      <w:pPr>
        <w:pStyle w:val="Heading1"/>
      </w:pPr>
      <w:r>
        <w:rPr>
          <w:rFonts w:ascii="微软雅黑" w:hAnsi="微软雅黑"/>
        </w:rPr>
        <w:t>流监控</w:t>
      </w:r>
    </w:p>
    <w:p>
      <w:pPr>
        <w:spacing w:line="360" w:lineRule="auto" w:after="120"/>
      </w:pPr>
      <w:r>
        <w:rPr>
          <w:rFonts w:ascii="微软雅黑" w:hAnsi="微软雅黑"/>
          <w:sz w:val="21"/>
        </w:rPr>
        <w:t xml:space="preserve"># 流监控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流监控使您能够对管道的健康状态进行警报。</w:t>
      </w:r>
    </w:p>
    <w:p>
      <w:pPr>
        <w:spacing w:line="360" w:lineRule="auto" w:after="120"/>
      </w:pPr>
      <w:r>
        <w:rPr>
          <w:rFonts w:ascii="微软雅黑" w:hAnsi="微软雅黑"/>
          <w:sz w:val="21"/>
        </w:rPr>
        <w:t>当管道具备以下条件时，被视为“健康”：</w:t>
      </w:r>
    </w:p>
    <w:p>
      <w:pPr>
        <w:pStyle w:val="ListBullet"/>
        <w:spacing w:line="360" w:lineRule="auto" w:after="120"/>
      </w:pPr>
      <w:r>
        <w:rPr>
          <w:rFonts w:ascii="微软雅黑" w:hAnsi="微软雅黑"/>
          <w:sz w:val="21"/>
        </w:rPr>
        <w:t>从源系统摄取新记录。</w:t>
      </w:r>
    </w:p>
    <w:p>
      <w:pPr>
        <w:pStyle w:val="ListBullet"/>
        <w:spacing w:line="360" w:lineRule="auto" w:after="120"/>
      </w:pPr>
      <w:r>
        <w:rPr>
          <w:rFonts w:ascii="微软雅黑" w:hAnsi="微软雅黑"/>
          <w:sz w:val="21"/>
        </w:rPr>
        <w:t>处理并将记录写入面向用户的Foundry应用程序。</w:t>
      </w:r>
    </w:p>
    <w:p>
      <w:pPr>
        <w:spacing w:line="360" w:lineRule="auto" w:after="120"/>
      </w:pPr>
      <w:r>
        <w:rPr>
          <w:rFonts w:ascii="微软雅黑" w:hAnsi="微软雅黑"/>
          <w:sz w:val="21"/>
        </w:rPr>
        <w:t>您可以通过设置摄取和输出警报来监控管道的健康状态，当摄取或输出的记录数量在某个时间段内低于用户定义的阈值时，会触发警报。</w:t>
      </w:r>
    </w:p>
    <w:p>
      <w:pPr>
        <w:spacing w:line="360" w:lineRule="auto" w:after="120"/>
      </w:pPr>
      <w:r>
        <w:rPr>
          <w:rFonts w:ascii="微软雅黑" w:hAnsi="微软雅黑"/>
          <w:sz w:val="21"/>
        </w:rPr>
        <w:t>例如，如果您的流在过去五分钟内摄取了零记录，可以设置摄取监控器发出警报，而如果您的流在过去30分钟内输出了少于1000条记录，可以设置输出监控器发出警报。</w:t>
      </w:r>
    </w:p>
    <w:p>
      <w:pPr>
        <w:pStyle w:val="ListBullet"/>
        <w:spacing w:line="360" w:lineRule="auto" w:after="120"/>
      </w:pPr>
      <w:r>
        <w:rPr>
          <w:rFonts w:ascii="微软雅黑" w:hAnsi="微软雅黑"/>
          <w:sz w:val="21"/>
        </w:rPr>
        <w:t>监控器应仅应用于具有恒定记录流的流。对于不接收恒定数据流的流，例如仅在工作时间发送的记录，这些测试版监控器不支持。</w:t>
      </w:r>
    </w:p>
    <w:p>
      <w:pPr>
        <w:pStyle w:val="ListBullet"/>
        <w:spacing w:line="360" w:lineRule="auto" w:after="120"/>
      </w:pPr>
      <w:r>
        <w:rPr>
          <w:rFonts w:ascii="微软雅黑" w:hAnsi="微软雅黑"/>
          <w:sz w:val="21"/>
        </w:rPr>
        <w:t>支持5分钟和30分钟的时间段。</w:t>
      </w:r>
    </w:p>
    <w:p>
      <w:pPr>
        <w:pStyle w:val="Heading2"/>
      </w:pPr>
      <w:r>
        <w:rPr>
          <w:rFonts w:ascii="微软雅黑" w:hAnsi="微软雅黑"/>
        </w:rPr>
        <w:t>创建监控器</w:t>
      </w:r>
    </w:p>
    <w:p>
      <w:pPr>
        <w:pStyle w:val="ListNumber"/>
        <w:spacing w:line="360" w:lineRule="auto" w:after="120"/>
      </w:pPr>
      <w:r>
        <w:rPr>
          <w:rFonts w:ascii="微软雅黑" w:hAnsi="微软雅黑"/>
          <w:sz w:val="21"/>
        </w:rPr>
        <w:t>打开数据健康应用程序。</w:t>
      </w:r>
    </w:p>
    <w:p>
      <w:pPr>
        <w:pStyle w:val="ListNumber"/>
        <w:spacing w:line="360" w:lineRule="auto" w:after="120"/>
      </w:pPr>
      <w:r>
        <w:rPr>
          <w:rFonts w:ascii="微软雅黑" w:hAnsi="微软雅黑"/>
          <w:sz w:val="21"/>
        </w:rPr>
        <w:t xml:space="preserve">选择 </w:t>
      </w:r>
      <w:r>
        <w:rPr>
          <w:rFonts w:ascii="微软雅黑" w:hAnsi="微软雅黑"/>
          <w:b/>
          <w:sz w:val="21"/>
        </w:rPr>
        <w:t>监控视图</w:t>
      </w:r>
      <w:r>
        <w:rPr>
          <w:rFonts w:ascii="微软雅黑" w:hAnsi="微软雅黑"/>
          <w:sz w:val="21"/>
        </w:rPr>
        <w:t xml:space="preserve"> 选项卡。</w:t>
      </w:r>
    </w:p>
    <w:p>
      <w:pPr>
        <w:pStyle w:val="ListNumber"/>
        <w:spacing w:line="360" w:lineRule="auto" w:after="120"/>
      </w:pPr>
      <w:r>
        <w:rPr>
          <w:rFonts w:ascii="微软雅黑" w:hAnsi="微软雅黑"/>
          <w:sz w:val="21"/>
        </w:rPr>
        <w:t>创建或选择现有的监控视图。</w:t>
      </w:r>
    </w:p>
    <w:p>
      <w:pPr>
        <w:pStyle w:val="ListNumber"/>
        <w:spacing w:line="360" w:lineRule="auto" w:after="120"/>
      </w:pPr>
      <w:r>
        <w:rPr>
          <w:rFonts w:ascii="微软雅黑" w:hAnsi="微软雅黑"/>
          <w:sz w:val="21"/>
        </w:rPr>
        <w:t xml:space="preserve">导航到 </w:t>
      </w:r>
      <w:r>
        <w:rPr>
          <w:rFonts w:ascii="微软雅黑" w:hAnsi="微软雅黑"/>
          <w:b/>
          <w:sz w:val="21"/>
        </w:rPr>
        <w:t>管理监控器</w:t>
      </w:r>
      <w:r>
        <w:rPr>
          <w:rFonts w:ascii="微软雅黑" w:hAnsi="微软雅黑"/>
          <w:sz w:val="21"/>
        </w:rPr>
        <w:t xml:space="preserve"> 选项卡。</w:t>
      </w:r>
    </w:p>
    <w:p>
      <w:pPr>
        <w:pStyle w:val="ListNumber"/>
        <w:spacing w:line="360" w:lineRule="auto" w:after="120"/>
      </w:pPr>
      <w:r>
        <w:rPr>
          <w:rFonts w:ascii="微软雅黑" w:hAnsi="微软雅黑"/>
          <w:sz w:val="21"/>
        </w:rPr>
        <w:t xml:space="preserve">选择 </w:t>
      </w:r>
      <w:r>
        <w:rPr>
          <w:rFonts w:ascii="微软雅黑" w:hAnsi="微软雅黑"/>
          <w:b/>
          <w:sz w:val="21"/>
        </w:rPr>
        <w:t>添加新警报</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添加监控规则</w:t>
      </w:r>
      <w:r>
        <w:rPr>
          <w:rFonts w:ascii="微软雅黑" w:hAnsi="微软雅黑"/>
          <w:sz w:val="21"/>
        </w:rPr>
        <w:t>。</w:t>
      </w:r>
    </w:p>
    <w:p>
      <w:pPr>
        <w:pStyle w:val="Heading2"/>
      </w:pPr>
      <w:r>
        <w:rPr>
          <w:rFonts w:ascii="微软雅黑" w:hAnsi="微软雅黑"/>
        </w:rPr>
        <w:t>配置摄取监控器</w:t>
      </w:r>
    </w:p>
    <w:p>
      <w:pPr>
        <w:spacing w:line="360" w:lineRule="auto" w:after="120"/>
      </w:pPr>
      <w:r>
        <w:rPr>
          <w:rFonts w:ascii="微软雅黑" w:hAnsi="微软雅黑"/>
          <w:sz w:val="21"/>
        </w:rPr>
        <w:t>摄取监控器确保：</w:t>
      </w:r>
    </w:p>
    <w:p>
      <w:pPr>
        <w:pStyle w:val="ListBullet"/>
        <w:spacing w:line="360" w:lineRule="auto" w:after="120"/>
      </w:pPr>
      <w:r>
        <w:rPr>
          <w:rFonts w:ascii="微软雅黑" w:hAnsi="微软雅黑"/>
          <w:sz w:val="21"/>
        </w:rPr>
        <w:t>您的源系统正在生成并发送记录到Foundry。</w:t>
      </w:r>
    </w:p>
    <w:p>
      <w:pPr>
        <w:pStyle w:val="ListBullet"/>
        <w:spacing w:line="360" w:lineRule="auto" w:after="120"/>
      </w:pPr>
      <w:r>
        <w:rPr>
          <w:rFonts w:ascii="微软雅黑" w:hAnsi="微软雅黑"/>
          <w:sz w:val="21"/>
        </w:rPr>
        <w:t>Foundry正在将记录写入摄取流的实时视图。</w:t>
      </w:r>
    </w:p>
    <w:p>
      <w:pPr>
        <w:spacing w:line="360" w:lineRule="auto" w:after="120"/>
      </w:pPr>
      <w:r>
        <w:rPr>
          <w:rFonts w:ascii="微软雅黑" w:hAnsi="微软雅黑"/>
          <w:sz w:val="21"/>
        </w:rPr>
        <w:t>要进行配置：</w:t>
      </w:r>
    </w:p>
    <w:p>
      <w:pPr>
        <w:pStyle w:val="ListNumber"/>
        <w:spacing w:line="360" w:lineRule="auto" w:after="120"/>
      </w:pPr>
      <w:r>
        <w:rPr>
          <w:rFonts w:ascii="微软雅黑" w:hAnsi="微软雅黑"/>
          <w:sz w:val="21"/>
        </w:rPr>
        <w:t>按照</w:t>
      </w:r>
      <w:r>
        <w:rPr>
          <w:rFonts w:ascii="微软雅黑" w:hAnsi="微软雅黑"/>
          <w:color w:val="0066CC"/>
          <w:sz w:val="21"/>
          <w:u w:val="single"/>
        </w:rPr>
        <w:t>创建监控器</w:t>
      </w:r>
      <w:r>
        <w:rPr>
          <w:rFonts w:ascii="微软雅黑" w:hAnsi="微软雅黑"/>
          <w:sz w:val="21"/>
        </w:rPr>
        <w:t>的说明。</w:t>
      </w:r>
    </w:p>
    <w:p>
      <w:pPr>
        <w:pStyle w:val="ListNumber"/>
        <w:spacing w:line="360" w:lineRule="auto" w:after="120"/>
      </w:pPr>
      <w:r>
        <w:rPr>
          <w:rFonts w:ascii="微软雅黑" w:hAnsi="微软雅黑"/>
          <w:sz w:val="21"/>
        </w:rPr>
        <w:t xml:space="preserve">选择 </w:t>
      </w:r>
      <w:r>
        <w:rPr>
          <w:rFonts w:ascii="微软雅黑" w:hAnsi="微软雅黑"/>
          <w:b/>
          <w:sz w:val="21"/>
        </w:rPr>
        <w:t>流数据集</w:t>
      </w:r>
      <w:r>
        <w:rPr>
          <w:rFonts w:ascii="微软雅黑" w:hAnsi="微软雅黑"/>
          <w:sz w:val="21"/>
        </w:rPr>
        <w:t xml:space="preserve"> 作为资源类型。</w:t>
      </w:r>
    </w:p>
    <w:p>
      <w:pPr>
        <w:pStyle w:val="ListNumber"/>
        <w:spacing w:line="360" w:lineRule="auto" w:after="120"/>
      </w:pPr>
      <w:r>
        <w:rPr>
          <w:rFonts w:ascii="微软雅黑" w:hAnsi="微软雅黑"/>
          <w:sz w:val="21"/>
        </w:rPr>
        <w:t xml:space="preserve">添加要监控的摄取流并选择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摄取流监控器</w:t>
      </w:r>
      <w:r>
        <w:rPr>
          <w:rFonts w:ascii="微软雅黑" w:hAnsi="微软雅黑"/>
          <w:sz w:val="21"/>
        </w:rPr>
        <w:t xml:space="preserve"> 卡片中选择 </w:t>
      </w:r>
      <w:r>
        <w:rPr>
          <w:rFonts w:ascii="微软雅黑" w:hAnsi="微软雅黑"/>
          <w:b/>
          <w:sz w:val="21"/>
        </w:rPr>
        <w:t>+ 添加</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摄取记录数</w:t>
      </w:r>
      <w:r>
        <w:rPr>
          <w:rFonts w:ascii="微软雅黑" w:hAnsi="微软雅黑"/>
          <w:sz w:val="21"/>
        </w:rPr>
        <w:t xml:space="preserve"> 监控器，持续时间为5或30分钟。</w:t>
      </w:r>
    </w:p>
    <w:p>
      <w:pPr>
        <w:pStyle w:val="ListNumber"/>
        <w:spacing w:line="360" w:lineRule="auto" w:after="120"/>
      </w:pPr>
      <w:r>
        <w:rPr>
          <w:rFonts w:ascii="微软雅黑" w:hAnsi="微软雅黑"/>
          <w:sz w:val="21"/>
        </w:rPr>
        <w:t xml:space="preserve">设置您的阈值并选择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查看您的监控器并选择 </w:t>
      </w:r>
      <w:r>
        <w:rPr>
          <w:rFonts w:ascii="微软雅黑" w:hAnsi="微软雅黑"/>
          <w:b/>
          <w:sz w:val="21"/>
        </w:rPr>
        <w:t>保存监控规则</w:t>
      </w:r>
      <w:r>
        <w:rPr>
          <w:rFonts w:ascii="微软雅黑" w:hAnsi="微软雅黑"/>
          <w:sz w:val="21"/>
        </w:rPr>
        <w:t>。</w:t>
      </w:r>
    </w:p>
    <w:p>
      <w:pPr>
        <w:spacing w:line="360" w:lineRule="auto" w:after="120"/>
      </w:pPr>
      <w:r>
        <w:rPr>
          <w:rFonts w:ascii="微软雅黑" w:hAnsi="微软雅黑"/>
          <w:sz w:val="21"/>
        </w:rPr>
        <w:t>示例：</w:t>
      </w:r>
    </w:p>
    <w:p>
      <w:pPr>
        <w:pStyle w:val="ListBullet"/>
        <w:spacing w:line="360" w:lineRule="auto" w:after="120"/>
      </w:pPr>
      <w:r>
        <w:rPr>
          <w:rFonts w:ascii="Consolas" w:hAnsi="Consolas"/>
          <w:color w:val="B43C3C"/>
          <w:sz w:val="18"/>
        </w:rPr>
        <w:t>摄取记录数</w:t>
      </w:r>
      <w:r>
        <w:rPr>
          <w:rFonts w:ascii="微软雅黑" w:hAnsi="微软雅黑"/>
          <w:sz w:val="21"/>
        </w:rPr>
        <w:t xml:space="preserve"> 持续时间为五分钟，阈值为零：当您的流在过去五分钟内向实时视图写入零记录时发出警报。</w:t>
      </w:r>
    </w:p>
    <w:p>
      <w:pPr>
        <w:pStyle w:val="ListBullet"/>
        <w:spacing w:line="360" w:lineRule="auto" w:after="120"/>
      </w:pPr>
      <w:r>
        <w:rPr>
          <w:rFonts w:ascii="Consolas" w:hAnsi="Consolas"/>
          <w:color w:val="B43C3C"/>
          <w:sz w:val="18"/>
        </w:rPr>
        <w:t>摄取记录数</w:t>
      </w:r>
      <w:r>
        <w:rPr>
          <w:rFonts w:ascii="微软雅黑" w:hAnsi="微软雅黑"/>
          <w:sz w:val="21"/>
        </w:rPr>
        <w:t xml:space="preserve"> 持续时间为30分钟，阈值为1000：当您的流在过去30分钟内向实时视图写入少于或等于1000条记录时发出警报。</w:t>
      </w:r>
    </w:p>
    <w:p>
      <w:pPr>
        <w:pStyle w:val="Heading2"/>
      </w:pPr>
      <w:r>
        <w:rPr>
          <w:rFonts w:ascii="微软雅黑" w:hAnsi="微软雅黑"/>
        </w:rPr>
        <w:t>配置输出监控器</w:t>
      </w:r>
    </w:p>
    <w:p>
      <w:pPr>
        <w:spacing w:line="360" w:lineRule="auto" w:after="120"/>
      </w:pPr>
      <w:r>
        <w:rPr>
          <w:rFonts w:ascii="微软雅黑" w:hAnsi="微软雅黑"/>
          <w:sz w:val="21"/>
        </w:rPr>
        <w:t>输出监控器确保您的管道：</w:t>
      </w:r>
    </w:p>
    <w:p>
      <w:pPr>
        <w:pStyle w:val="ListBullet"/>
        <w:spacing w:line="360" w:lineRule="auto" w:after="120"/>
      </w:pPr>
      <w:r>
        <w:rPr>
          <w:rFonts w:ascii="微软雅黑" w:hAnsi="微软雅黑"/>
          <w:sz w:val="21"/>
        </w:rPr>
        <w:t>处理已摄取的记录。</w:t>
      </w:r>
    </w:p>
    <w:p>
      <w:pPr>
        <w:pStyle w:val="ListBullet"/>
        <w:spacing w:line="360" w:lineRule="auto" w:after="120"/>
      </w:pPr>
      <w:r>
        <w:rPr>
          <w:rFonts w:ascii="微软雅黑" w:hAnsi="微软雅黑"/>
          <w:sz w:val="21"/>
        </w:rPr>
        <w:t>将这些处理过的记录写入面向用户的Foundry应用程序。</w:t>
      </w:r>
    </w:p>
    <w:p>
      <w:pPr>
        <w:spacing w:line="360" w:lineRule="auto" w:after="120"/>
      </w:pPr>
      <w:r>
        <w:rPr>
          <w:rFonts w:ascii="微软雅黑" w:hAnsi="微软雅黑"/>
          <w:sz w:val="21"/>
        </w:rPr>
        <w:t>在流监控器处于测试版时，</w:t>
      </w:r>
      <w:r>
        <w:rPr>
          <w:rFonts w:ascii="微软雅黑" w:hAnsi="微软雅黑"/>
          <w:color w:val="0066CC"/>
          <w:sz w:val="21"/>
          <w:u w:val="single"/>
        </w:rPr>
        <w:t>时间序列</w:t>
      </w:r>
      <w:r>
        <w:rPr>
          <w:rFonts w:ascii="微软雅黑" w:hAnsi="微软雅黑"/>
          <w:sz w:val="21"/>
        </w:rPr>
        <w:t>和</w:t>
      </w:r>
      <w:r>
        <w:rPr>
          <w:rFonts w:ascii="微软雅黑" w:hAnsi="微软雅黑"/>
          <w:color w:val="0066CC"/>
          <w:sz w:val="21"/>
          <w:u w:val="single"/>
        </w:rPr>
        <w:t>地理时间序列</w:t>
      </w:r>
      <w:r>
        <w:rPr>
          <w:rFonts w:ascii="微软雅黑" w:hAnsi="微软雅黑"/>
          <w:sz w:val="21"/>
        </w:rPr>
        <w:t>是唯一可监控的数据格式。</w:t>
      </w:r>
    </w:p>
    <w:p>
      <w:pPr>
        <w:pStyle w:val="Heading3"/>
      </w:pPr>
      <w:r>
        <w:rPr>
          <w:rFonts w:ascii="微软雅黑" w:hAnsi="微软雅黑"/>
        </w:rPr>
        <w:t>时间序列</w:t>
      </w:r>
    </w:p>
    <w:p>
      <w:pPr>
        <w:spacing w:line="360" w:lineRule="auto" w:after="120"/>
      </w:pPr>
      <w:r>
        <w:rPr>
          <w:rFonts w:ascii="微软雅黑" w:hAnsi="微软雅黑"/>
          <w:sz w:val="21"/>
        </w:rPr>
        <w:t>要监控写入</w:t>
      </w:r>
      <w:r>
        <w:rPr>
          <w:rFonts w:ascii="微软雅黑" w:hAnsi="微软雅黑"/>
          <w:color w:val="0066CC"/>
          <w:sz w:val="21"/>
          <w:u w:val="single"/>
        </w:rPr>
        <w:t>时间序列</w:t>
      </w:r>
      <w:r>
        <w:rPr>
          <w:rFonts w:ascii="微软雅黑" w:hAnsi="微软雅黑"/>
          <w:sz w:val="21"/>
        </w:rPr>
        <w:t>的记录，您需要在时间序列同步上设置警报。</w:t>
      </w:r>
    </w:p>
    <w:p>
      <w:pPr>
        <w:pStyle w:val="ListNumber"/>
        <w:spacing w:line="360" w:lineRule="auto" w:after="120"/>
      </w:pPr>
      <w:r>
        <w:rPr>
          <w:rFonts w:ascii="微软雅黑" w:hAnsi="微软雅黑"/>
          <w:sz w:val="21"/>
        </w:rPr>
        <w:t>按照</w:t>
      </w:r>
      <w:r>
        <w:rPr>
          <w:rFonts w:ascii="微软雅黑" w:hAnsi="微软雅黑"/>
          <w:color w:val="0066CC"/>
          <w:sz w:val="21"/>
          <w:u w:val="single"/>
        </w:rPr>
        <w:t>创建监控器</w:t>
      </w:r>
      <w:r>
        <w:rPr>
          <w:rFonts w:ascii="微软雅黑" w:hAnsi="微软雅黑"/>
          <w:sz w:val="21"/>
        </w:rPr>
        <w:t>的说明。</w:t>
      </w:r>
    </w:p>
    <w:p>
      <w:pPr>
        <w:pStyle w:val="ListNumber"/>
        <w:spacing w:line="360" w:lineRule="auto" w:after="120"/>
      </w:pPr>
      <w:r>
        <w:rPr>
          <w:rFonts w:ascii="微软雅黑" w:hAnsi="微软雅黑"/>
          <w:sz w:val="21"/>
        </w:rPr>
        <w:t xml:space="preserve">选择 </w:t>
      </w:r>
      <w:r>
        <w:rPr>
          <w:rFonts w:ascii="微软雅黑" w:hAnsi="微软雅黑"/>
          <w:b/>
          <w:sz w:val="21"/>
        </w:rPr>
        <w:t>时间序列同步</w:t>
      </w:r>
      <w:r>
        <w:rPr>
          <w:rFonts w:ascii="微软雅黑" w:hAnsi="微软雅黑"/>
          <w:sz w:val="21"/>
        </w:rPr>
        <w:t xml:space="preserve"> 作为资源类型。</w:t>
      </w:r>
    </w:p>
    <w:p>
      <w:pPr>
        <w:pStyle w:val="ListNumber"/>
        <w:spacing w:line="360" w:lineRule="auto" w:after="120"/>
      </w:pPr>
      <w:r>
        <w:rPr>
          <w:rFonts w:ascii="微软雅黑" w:hAnsi="微软雅黑"/>
          <w:sz w:val="21"/>
        </w:rPr>
        <w:t xml:space="preserve">添加要监控的时间序列同步并选择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监控器</w:t>
      </w:r>
      <w:r>
        <w:rPr>
          <w:rFonts w:ascii="微软雅黑" w:hAnsi="微软雅黑"/>
          <w:sz w:val="21"/>
        </w:rPr>
        <w:t xml:space="preserve"> 卡片中选择 </w:t>
      </w:r>
      <w:r>
        <w:rPr>
          <w:rFonts w:ascii="微软雅黑" w:hAnsi="微软雅黑"/>
          <w:b/>
          <w:sz w:val="21"/>
        </w:rPr>
        <w:t>+ 添加</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写入Epoch的点数</w:t>
      </w:r>
      <w:r>
        <w:rPr>
          <w:rFonts w:ascii="微软雅黑" w:hAnsi="微软雅黑"/>
          <w:sz w:val="21"/>
        </w:rPr>
        <w:t>，持续时间为5或30分钟。</w:t>
      </w:r>
    </w:p>
    <w:p>
      <w:pPr>
        <w:pStyle w:val="ListNumber"/>
        <w:spacing w:line="360" w:lineRule="auto" w:after="120"/>
      </w:pPr>
      <w:r>
        <w:rPr>
          <w:rFonts w:ascii="微软雅黑" w:hAnsi="微软雅黑"/>
          <w:sz w:val="21"/>
        </w:rPr>
        <w:t xml:space="preserve">设置您的阈值并选择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查看您的监控器并选择 </w:t>
      </w:r>
      <w:r>
        <w:rPr>
          <w:rFonts w:ascii="微软雅黑" w:hAnsi="微软雅黑"/>
          <w:b/>
          <w:sz w:val="21"/>
        </w:rPr>
        <w:t>保存监控规则</w:t>
      </w:r>
      <w:r>
        <w:rPr>
          <w:rFonts w:ascii="微软雅黑" w:hAnsi="微软雅黑"/>
          <w:sz w:val="21"/>
        </w:rPr>
        <w:t>。</w:t>
      </w:r>
    </w:p>
    <w:p>
      <w:pPr>
        <w:spacing w:line="360" w:lineRule="auto" w:after="120"/>
      </w:pPr>
      <w:r>
        <w:rPr>
          <w:rFonts w:ascii="微软雅黑" w:hAnsi="微软雅黑"/>
          <w:sz w:val="21"/>
        </w:rPr>
        <w:t>示例：</w:t>
      </w:r>
    </w:p>
    <w:p>
      <w:pPr>
        <w:pStyle w:val="ListBullet"/>
        <w:spacing w:line="360" w:lineRule="auto" w:after="120"/>
      </w:pPr>
      <w:r>
        <w:rPr>
          <w:rFonts w:ascii="Consolas" w:hAnsi="Consolas"/>
          <w:color w:val="B43C3C"/>
          <w:sz w:val="18"/>
        </w:rPr>
        <w:t>写入时间序列数据库的点数</w:t>
      </w:r>
      <w:r>
        <w:rPr>
          <w:rFonts w:ascii="微软雅黑" w:hAnsi="微软雅黑"/>
          <w:sz w:val="21"/>
        </w:rPr>
        <w:t xml:space="preserve"> 持续时间为五分钟，阈值为零：当您的时间序列同步在过去五分钟内写入零记录时发出警报。</w:t>
      </w:r>
    </w:p>
    <w:p>
      <w:pPr>
        <w:pStyle w:val="ListBullet"/>
        <w:spacing w:line="360" w:lineRule="auto" w:after="120"/>
      </w:pPr>
      <w:r>
        <w:rPr>
          <w:rFonts w:ascii="Consolas" w:hAnsi="Consolas"/>
          <w:color w:val="B43C3C"/>
          <w:sz w:val="18"/>
        </w:rPr>
        <w:t>写入时间序列数据库的点数</w:t>
      </w:r>
      <w:r>
        <w:rPr>
          <w:rFonts w:ascii="微软雅黑" w:hAnsi="微软雅黑"/>
          <w:sz w:val="21"/>
        </w:rPr>
        <w:t xml:space="preserve"> 持续时间为30分钟，阈值为1000：当您的时间序列同步在过去30分钟内写入少于或等于1000条记录时发出警报。</w:t>
      </w:r>
    </w:p>
    <w:p>
      <w:pPr>
        <w:pStyle w:val="Heading3"/>
      </w:pPr>
      <w:r>
        <w:rPr>
          <w:rFonts w:ascii="微软雅黑" w:hAnsi="微软雅黑"/>
        </w:rPr>
        <w:t>地理时间观察</w:t>
      </w:r>
    </w:p>
    <w:p>
      <w:pPr>
        <w:spacing w:line="360" w:lineRule="auto" w:after="120"/>
      </w:pPr>
      <w:r>
        <w:rPr>
          <w:rFonts w:ascii="微软雅黑" w:hAnsi="微软雅黑"/>
          <w:sz w:val="21"/>
        </w:rPr>
        <w:t>要监控</w:t>
      </w:r>
      <w:r>
        <w:rPr>
          <w:rFonts w:ascii="微软雅黑" w:hAnsi="微软雅黑"/>
          <w:color w:val="0066CC"/>
          <w:sz w:val="21"/>
          <w:u w:val="single"/>
        </w:rPr>
        <w:t>地理时间观察</w:t>
      </w:r>
      <w:r>
        <w:rPr>
          <w:rFonts w:ascii="微软雅黑" w:hAnsi="微软雅黑"/>
          <w:sz w:val="21"/>
        </w:rPr>
        <w:t>，您需要在支持观察数据集上设置警报。</w:t>
      </w:r>
    </w:p>
    <w:p>
      <w:pPr>
        <w:pStyle w:val="ListNumber"/>
        <w:spacing w:line="360" w:lineRule="auto" w:after="120"/>
      </w:pPr>
      <w:r>
        <w:rPr>
          <w:rFonts w:ascii="微软雅黑" w:hAnsi="微软雅黑"/>
          <w:sz w:val="21"/>
        </w:rPr>
        <w:t>按照</w:t>
      </w:r>
      <w:r>
        <w:rPr>
          <w:rFonts w:ascii="微软雅黑" w:hAnsi="微软雅黑"/>
          <w:color w:val="0066CC"/>
          <w:sz w:val="21"/>
          <w:u w:val="single"/>
        </w:rPr>
        <w:t>创建监控器</w:t>
      </w:r>
      <w:r>
        <w:rPr>
          <w:rFonts w:ascii="微软雅黑" w:hAnsi="微软雅黑"/>
          <w:sz w:val="21"/>
        </w:rPr>
        <w:t>的说明。</w:t>
      </w:r>
    </w:p>
    <w:p>
      <w:pPr>
        <w:pStyle w:val="ListNumber"/>
        <w:spacing w:line="360" w:lineRule="auto" w:after="120"/>
      </w:pPr>
      <w:r>
        <w:rPr>
          <w:rFonts w:ascii="微软雅黑" w:hAnsi="微软雅黑"/>
          <w:sz w:val="21"/>
        </w:rPr>
        <w:t xml:space="preserve">选择 </w:t>
      </w:r>
      <w:r>
        <w:rPr>
          <w:rFonts w:ascii="微软雅黑" w:hAnsi="微软雅黑"/>
          <w:b/>
          <w:sz w:val="21"/>
        </w:rPr>
        <w:t>地理时间观察</w:t>
      </w:r>
      <w:r>
        <w:rPr>
          <w:rFonts w:ascii="微软雅黑" w:hAnsi="微软雅黑"/>
          <w:sz w:val="21"/>
        </w:rPr>
        <w:t xml:space="preserve"> 作为资源类型。</w:t>
      </w:r>
    </w:p>
    <w:p>
      <w:pPr>
        <w:pStyle w:val="ListNumber"/>
        <w:spacing w:line="360" w:lineRule="auto" w:after="120"/>
      </w:pPr>
      <w:r>
        <w:rPr>
          <w:rFonts w:ascii="微软雅黑" w:hAnsi="微软雅黑"/>
          <w:sz w:val="21"/>
        </w:rPr>
        <w:t xml:space="preserve">添加要监控的观察数据集并选择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监控器</w:t>
      </w:r>
      <w:r>
        <w:rPr>
          <w:rFonts w:ascii="微软雅黑" w:hAnsi="微软雅黑"/>
          <w:sz w:val="21"/>
        </w:rPr>
        <w:t xml:space="preserve"> 卡片中选择 </w:t>
      </w:r>
      <w:r>
        <w:rPr>
          <w:rFonts w:ascii="微软雅黑" w:hAnsi="微软雅黑"/>
          <w:b/>
          <w:sz w:val="21"/>
        </w:rPr>
        <w:t>+ 添加</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发送的地理时间观察</w:t>
      </w:r>
      <w:r>
        <w:rPr>
          <w:rFonts w:ascii="微软雅黑" w:hAnsi="微软雅黑"/>
          <w:sz w:val="21"/>
        </w:rPr>
        <w:t>，持续时间为5或30分钟。</w:t>
      </w:r>
    </w:p>
    <w:p>
      <w:pPr>
        <w:pStyle w:val="ListNumber"/>
        <w:spacing w:line="360" w:lineRule="auto" w:after="120"/>
      </w:pPr>
      <w:r>
        <w:rPr>
          <w:rFonts w:ascii="微软雅黑" w:hAnsi="微软雅黑"/>
          <w:sz w:val="21"/>
        </w:rPr>
        <w:t xml:space="preserve">设置您的阈值并选择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查看您的监控器并选择 </w:t>
      </w:r>
      <w:r>
        <w:rPr>
          <w:rFonts w:ascii="微软雅黑" w:hAnsi="微软雅黑"/>
          <w:b/>
          <w:sz w:val="21"/>
        </w:rPr>
        <w:t>保存监控规则</w:t>
      </w:r>
      <w:r>
        <w:rPr>
          <w:rFonts w:ascii="微软雅黑" w:hAnsi="微软雅黑"/>
          <w:sz w:val="21"/>
        </w:rPr>
        <w:t>。</w:t>
      </w:r>
    </w:p>
    <w:p>
      <w:pPr>
        <w:spacing w:line="360" w:lineRule="auto" w:after="120"/>
      </w:pPr>
      <w:r>
        <w:rPr>
          <w:rFonts w:ascii="微软雅黑" w:hAnsi="微软雅黑"/>
          <w:sz w:val="21"/>
        </w:rPr>
        <w:t>示例：</w:t>
      </w:r>
    </w:p>
    <w:p>
      <w:pPr>
        <w:pStyle w:val="ListBullet"/>
        <w:spacing w:line="360" w:lineRule="auto" w:after="120"/>
      </w:pPr>
      <w:r>
        <w:rPr>
          <w:rFonts w:ascii="Consolas" w:hAnsi="Consolas"/>
          <w:color w:val="B43C3C"/>
          <w:sz w:val="18"/>
        </w:rPr>
        <w:t>发送的地理时间观察</w:t>
      </w:r>
      <w:r>
        <w:rPr>
          <w:rFonts w:ascii="微软雅黑" w:hAnsi="微软雅黑"/>
          <w:sz w:val="21"/>
        </w:rPr>
        <w:t xml:space="preserve"> 持续时间为五分钟，阈值为零：当您的地理时间同步在过去五分钟内发送零个观察到地理时间时发出警报。</w:t>
      </w:r>
    </w:p>
    <w:p>
      <w:pPr>
        <w:pStyle w:val="ListBullet"/>
        <w:spacing w:line="360" w:lineRule="auto" w:after="120"/>
      </w:pPr>
      <w:r>
        <w:rPr>
          <w:rFonts w:ascii="Consolas" w:hAnsi="Consolas"/>
          <w:color w:val="B43C3C"/>
          <w:sz w:val="18"/>
        </w:rPr>
        <w:t>发送的地理时间观察</w:t>
      </w:r>
      <w:r>
        <w:rPr>
          <w:rFonts w:ascii="微软雅黑" w:hAnsi="微软雅黑"/>
          <w:sz w:val="21"/>
        </w:rPr>
        <w:t xml:space="preserve"> 持续时间为30分钟，阈值为1000：当您的地理时间同步在过去30分钟内发送少于或等于1000个观察到地理时间时发出警报。</w:t>
      </w:r>
    </w:p>
    <w:p>
      <w:pPr>
        <w:pStyle w:val="ListBullet"/>
        <w:spacing w:line="360" w:lineRule="auto" w:after="120"/>
      </w:pPr>
      <w:r>
        <w:rPr>
          <w:rFonts w:ascii="微软雅黑" w:hAnsi="微软雅黑"/>
          <w:sz w:val="21"/>
        </w:rPr>
        <w:t>确保您在支持观察数据集上设置监控器，而不是错误数据集。</w:t>
      </w:r>
    </w:p>
    <w:p>
      <w:pPr>
        <w:pStyle w:val="ListBullet"/>
        <w:spacing w:line="360" w:lineRule="auto" w:after="120"/>
      </w:pPr>
      <w:r>
        <w:rPr>
          <w:rFonts w:ascii="Consolas" w:hAnsi="Consolas"/>
          <w:color w:val="B43C3C"/>
          <w:sz w:val="18"/>
        </w:rPr>
        <w:t>发送的地理时间观察</w:t>
      </w:r>
      <w:r>
        <w:rPr>
          <w:rFonts w:ascii="微软雅黑" w:hAnsi="微软雅黑"/>
          <w:sz w:val="21"/>
        </w:rPr>
        <w:t xml:space="preserve"> 仅确保记录已从地理时间摄取发送。这并不保证地理时间服务在摄取后已处理记录。</w:t>
      </w:r>
    </w:p>
    <w:p>
      <w:pPr>
        <w:pStyle w:val="Heading2"/>
      </w:pPr>
      <w:r>
        <w:rPr>
          <w:rFonts w:ascii="微软雅黑" w:hAnsi="微软雅黑"/>
        </w:rPr>
        <w:t>查看指标</w:t>
      </w:r>
    </w:p>
    <w:p>
      <w:pPr>
        <w:spacing w:line="360" w:lineRule="auto" w:after="120"/>
      </w:pPr>
      <w:r>
        <w:rPr>
          <w:rFonts w:ascii="微软雅黑" w:hAnsi="微软雅黑"/>
          <w:sz w:val="21"/>
        </w:rPr>
        <w:t xml:space="preserve">要查看监控器下的指标，请在监控视图的 </w:t>
      </w:r>
      <w:r>
        <w:rPr>
          <w:rFonts w:ascii="微软雅黑" w:hAnsi="微软雅黑"/>
          <w:b/>
          <w:sz w:val="21"/>
        </w:rPr>
        <w:t>管理监控器</w:t>
      </w:r>
      <w:r>
        <w:rPr>
          <w:rFonts w:ascii="微软雅黑" w:hAnsi="微软雅黑"/>
          <w:sz w:val="21"/>
        </w:rPr>
        <w:t xml:space="preserve"> 选项卡中选择监控规则行。</w:t>
      </w:r>
    </w:p>
    <w:p>
      <w:pPr>
        <w:spacing w:line="360" w:lineRule="auto" w:after="120"/>
      </w:pPr>
      <w:r>
        <w:rPr>
          <w:rFonts w:ascii="微软雅黑" w:hAnsi="微软雅黑"/>
          <w:sz w:val="21"/>
        </w:rPr>
        <w:t>指标仅适用于具有单一目标范围的流或时间序列监控器。</w:t>
      </w:r>
    </w:p>
    <w:p>
      <w:pPr>
        <w:spacing w:after="40"/>
        <w:jc w:val="center"/>
      </w:pPr>
      <w:r>
        <w:rPr>
          <w:i/>
          <w:color w:val="646464"/>
          <w:sz w:val="18"/>
        </w:rPr>
        <w:t>图：查看流监控器指标</w:t>
      </w:r>
    </w:p>
    <w:p>
      <w:pPr>
        <w:spacing w:before="120" w:after="240"/>
        <w:jc w:val="center"/>
      </w:pPr>
      <w:r>
        <w:drawing>
          <wp:inline xmlns:a="http://schemas.openxmlformats.org/drawingml/2006/main" xmlns:pic="http://schemas.openxmlformats.org/drawingml/2006/picture">
            <wp:extent cx="5029200" cy="2830721"/>
            <wp:docPr id="49" name="Picture 49"/>
            <wp:cNvGraphicFramePr>
              <a:graphicFrameLocks noChangeAspect="1"/>
            </wp:cNvGraphicFramePr>
            <a:graphic>
              <a:graphicData uri="http://schemas.openxmlformats.org/drawingml/2006/picture">
                <pic:pic>
                  <pic:nvPicPr>
                    <pic:cNvPr id="0" name="stream-monitoring-metrics.gif"/>
                    <pic:cNvPicPr/>
                  </pic:nvPicPr>
                  <pic:blipFill>
                    <a:blip r:embed="rId56"/>
                    <a:stretch>
                      <a:fillRect/>
                    </a:stretch>
                  </pic:blipFill>
                  <pic:spPr>
                    <a:xfrm>
                      <a:off x="0" y="0"/>
                      <a:ext cx="5029200" cy="2830721"/>
                    </a:xfrm>
                    <a:prstGeom prst="rect"/>
                  </pic:spPr>
                </pic:pic>
              </a:graphicData>
            </a:graphic>
          </wp:inline>
        </w:drawing>
      </w:r>
    </w:p>
    <w:p>
      <w:pPr>
        <w:pStyle w:val="Heading2"/>
      </w:pPr>
      <w:r>
        <w:rPr>
          <w:rFonts w:ascii="微软雅黑" w:hAnsi="微软雅黑"/>
        </w:rPr>
        <w:t>监控通知</w:t>
      </w:r>
    </w:p>
    <w:p>
      <w:pPr>
        <w:spacing w:line="360" w:lineRule="auto" w:after="120"/>
      </w:pPr>
      <w:r>
        <w:rPr>
          <w:rFonts w:ascii="微软雅黑" w:hAnsi="微软雅黑"/>
          <w:sz w:val="21"/>
        </w:rPr>
        <w:t xml:space="preserve">您可以通过监控视图的 </w:t>
      </w:r>
      <w:r>
        <w:rPr>
          <w:rFonts w:ascii="微软雅黑" w:hAnsi="微软雅黑"/>
          <w:b/>
          <w:sz w:val="21"/>
        </w:rPr>
        <w:t>管理订阅</w:t>
      </w:r>
      <w:r>
        <w:rPr>
          <w:rFonts w:ascii="微软雅黑" w:hAnsi="微软雅黑"/>
          <w:sz w:val="21"/>
        </w:rPr>
        <w:t xml:space="preserve"> 选项卡配置通知。</w:t>
      </w:r>
    </w:p>
    <w:p>
      <w:pPr>
        <w:spacing w:line="360" w:lineRule="auto" w:after="120"/>
      </w:pPr>
      <w:r>
        <w:rPr>
          <w:rFonts w:ascii="微软雅黑" w:hAnsi="微软雅黑"/>
          <w:sz w:val="21"/>
        </w:rPr>
        <w:t>要设置电子邮件警报：</w:t>
      </w:r>
    </w:p>
    <w:p>
      <w:pPr>
        <w:pStyle w:val="ListNumber"/>
        <w:spacing w:line="360" w:lineRule="auto" w:after="120"/>
      </w:pPr>
      <w:r>
        <w:rPr>
          <w:rFonts w:ascii="微软雅黑" w:hAnsi="微软雅黑"/>
          <w:sz w:val="21"/>
        </w:rPr>
        <w:t xml:space="preserve">选择 </w:t>
      </w:r>
      <w:r>
        <w:rPr>
          <w:rFonts w:ascii="微软雅黑" w:hAnsi="微软雅黑"/>
          <w:b/>
          <w:sz w:val="21"/>
        </w:rPr>
        <w:t>将用户添加到组</w:t>
      </w:r>
      <w:r>
        <w:rPr>
          <w:rFonts w:ascii="微软雅黑" w:hAnsi="微软雅黑"/>
          <w:sz w:val="21"/>
        </w:rPr>
        <w:t>。</w:t>
      </w:r>
    </w:p>
    <w:p>
      <w:pPr>
        <w:pStyle w:val="ListNumber"/>
        <w:spacing w:line="360" w:lineRule="auto" w:after="120"/>
      </w:pPr>
      <w:r>
        <w:rPr>
          <w:rFonts w:ascii="微软雅黑" w:hAnsi="微软雅黑"/>
          <w:sz w:val="21"/>
        </w:rPr>
        <w:t>搜索并选择一个用户。</w:t>
      </w:r>
    </w:p>
    <w:p>
      <w:pPr>
        <w:pStyle w:val="ListNumber"/>
        <w:spacing w:line="360" w:lineRule="auto" w:after="120"/>
      </w:pPr>
      <w:r>
        <w:rPr>
          <w:rFonts w:ascii="微软雅黑" w:hAnsi="微软雅黑"/>
          <w:sz w:val="21"/>
        </w:rPr>
        <w:t>选择要通知的严重性。</w:t>
      </w:r>
    </w:p>
    <w:p>
      <w:pPr>
        <w:spacing w:line="360" w:lineRule="auto" w:after="120"/>
      </w:pPr>
      <w:r>
        <w:rPr>
          <w:rFonts w:ascii="微软雅黑" w:hAnsi="微软雅黑"/>
          <w:sz w:val="21"/>
        </w:rPr>
        <w:t>要设置PagerDuty警报：</w:t>
      </w:r>
    </w:p>
    <w:p>
      <w:pPr>
        <w:pStyle w:val="ListNumber"/>
        <w:spacing w:line="360" w:lineRule="auto" w:after="120"/>
      </w:pPr>
      <w:r>
        <w:rPr>
          <w:rFonts w:ascii="微软雅黑" w:hAnsi="微软雅黑"/>
          <w:sz w:val="21"/>
        </w:rPr>
        <w:t xml:space="preserve">选择 </w:t>
      </w:r>
      <w:r>
        <w:rPr>
          <w:rFonts w:ascii="微软雅黑" w:hAnsi="微软雅黑"/>
          <w:b/>
          <w:sz w:val="21"/>
        </w:rPr>
        <w:t>创建新的PagerDuty集成</w:t>
      </w:r>
      <w:r>
        <w:rPr>
          <w:rFonts w:ascii="微软雅黑" w:hAnsi="微软雅黑"/>
          <w:sz w:val="21"/>
        </w:rPr>
        <w:t>。</w:t>
      </w:r>
    </w:p>
    <w:p>
      <w:pPr>
        <w:pStyle w:val="ListNumber"/>
        <w:spacing w:line="360" w:lineRule="auto" w:after="120"/>
      </w:pPr>
      <w:r>
        <w:rPr>
          <w:rFonts w:ascii="微软雅黑" w:hAnsi="微软雅黑"/>
          <w:sz w:val="21"/>
        </w:rPr>
        <w:t xml:space="preserve">设置 </w:t>
      </w:r>
      <w:r>
        <w:rPr>
          <w:rFonts w:ascii="微软雅黑" w:hAnsi="微软雅黑"/>
          <w:b/>
          <w:sz w:val="21"/>
        </w:rPr>
        <w:t>集成名称</w:t>
      </w:r>
      <w:r>
        <w:rPr>
          <w:rFonts w:ascii="微软雅黑" w:hAnsi="微软雅黑"/>
          <w:sz w:val="21"/>
        </w:rPr>
        <w:t>。</w:t>
      </w:r>
    </w:p>
    <w:p>
      <w:pPr>
        <w:pStyle w:val="ListNumber"/>
        <w:spacing w:line="360" w:lineRule="auto" w:after="120"/>
      </w:pPr>
      <w:r>
        <w:rPr>
          <w:rFonts w:ascii="微软雅黑" w:hAnsi="微软雅黑"/>
          <w:sz w:val="21"/>
        </w:rPr>
        <w:t>在PagerDuty中创建一个集成。</w:t>
      </w:r>
    </w:p>
    <w:p>
      <w:pPr>
        <w:pStyle w:val="ListNumber"/>
        <w:spacing w:line="360" w:lineRule="auto" w:after="120"/>
      </w:pPr>
      <w:r>
        <w:rPr>
          <w:rFonts w:ascii="微软雅黑" w:hAnsi="微软雅黑"/>
          <w:sz w:val="21"/>
        </w:rPr>
        <w:t xml:space="preserve">复制并粘贴集成密钥到 </w:t>
      </w:r>
      <w:r>
        <w:rPr>
          <w:rFonts w:ascii="微软雅黑" w:hAnsi="微软雅黑"/>
          <w:b/>
          <w:sz w:val="21"/>
        </w:rPr>
        <w:t>集成密钥</w:t>
      </w:r>
      <w:r>
        <w:rPr>
          <w:rFonts w:ascii="微软雅黑" w:hAnsi="微软雅黑"/>
          <w:sz w:val="21"/>
        </w:rPr>
        <w:t xml:space="preserve"> 中。</w:t>
      </w:r>
    </w:p>
    <w:p>
      <w:pPr>
        <w:pStyle w:val="ListNumber"/>
        <w:spacing w:line="360" w:lineRule="auto" w:after="120"/>
      </w:pPr>
      <w:r>
        <w:rPr>
          <w:rFonts w:ascii="微软雅黑" w:hAnsi="微软雅黑"/>
          <w:sz w:val="21"/>
        </w:rPr>
        <w:t xml:space="preserve">选择警报的 </w:t>
      </w:r>
      <w:r>
        <w:rPr>
          <w:rFonts w:ascii="微软雅黑" w:hAnsi="微软雅黑"/>
          <w:b/>
          <w:sz w:val="21"/>
        </w:rPr>
        <w:t>严重性</w:t>
      </w:r>
      <w:r>
        <w:rPr>
          <w:rFonts w:ascii="微软雅黑" w:hAnsi="微软雅黑"/>
          <w:sz w:val="21"/>
        </w:rPr>
        <w:t>。</w:t>
      </w:r>
    </w:p>
    <w:p>
      <w:pPr>
        <w:spacing w:after="40"/>
        <w:jc w:val="center"/>
      </w:pPr>
      <w:r>
        <w:rPr>
          <w:i/>
          <w:color w:val="646464"/>
          <w:sz w:val="18"/>
        </w:rPr>
        <w:t>图：监控通知</w:t>
      </w:r>
    </w:p>
    <w:p>
      <w:pPr>
        <w:spacing w:before="120" w:after="240"/>
        <w:jc w:val="center"/>
      </w:pPr>
      <w:r>
        <w:drawing>
          <wp:inline xmlns:a="http://schemas.openxmlformats.org/drawingml/2006/main" xmlns:pic="http://schemas.openxmlformats.org/drawingml/2006/picture">
            <wp:extent cx="5029200" cy="3350684"/>
            <wp:docPr id="50" name="Picture 50"/>
            <wp:cNvGraphicFramePr>
              <a:graphicFrameLocks noChangeAspect="1"/>
            </wp:cNvGraphicFramePr>
            <a:graphic>
              <a:graphicData uri="http://schemas.openxmlformats.org/drawingml/2006/picture">
                <pic:pic>
                  <pic:nvPicPr>
                    <pic:cNvPr id="0" name="stream-monitoring-notifications.png"/>
                    <pic:cNvPicPr/>
                  </pic:nvPicPr>
                  <pic:blipFill>
                    <a:blip r:embed="rId57"/>
                    <a:stretch>
                      <a:fillRect/>
                    </a:stretch>
                  </pic:blipFill>
                  <pic:spPr>
                    <a:xfrm>
                      <a:off x="0" y="0"/>
                      <a:ext cx="5029200" cy="3350684"/>
                    </a:xfrm>
                    <a:prstGeom prst="rect"/>
                  </pic:spPr>
                </pic:pic>
              </a:graphicData>
            </a:graphic>
          </wp:inline>
        </w:drawing>
      </w:r>
    </w:p>
    <w:p>
      <w:pPr>
        <w:pStyle w:val="Heading2"/>
      </w:pPr>
      <w:r>
        <w:rPr>
          <w:rFonts w:ascii="微软雅黑" w:hAnsi="微软雅黑"/>
        </w:rPr>
        <w:t>触发警报</w:t>
      </w:r>
    </w:p>
    <w:p>
      <w:pPr>
        <w:spacing w:line="360" w:lineRule="auto" w:after="120"/>
      </w:pPr>
      <w:r>
        <w:rPr>
          <w:rFonts w:ascii="微软雅黑" w:hAnsi="微软雅黑"/>
          <w:sz w:val="21"/>
        </w:rPr>
        <w:t xml:space="preserve">您可以在监控视图的 </w:t>
      </w:r>
      <w:r>
        <w:rPr>
          <w:rFonts w:ascii="微软雅黑" w:hAnsi="微软雅黑"/>
          <w:b/>
          <w:sz w:val="21"/>
        </w:rPr>
        <w:t>故障排除警报</w:t>
      </w:r>
      <w:r>
        <w:rPr>
          <w:rFonts w:ascii="微软雅黑" w:hAnsi="微软雅黑"/>
          <w:sz w:val="21"/>
        </w:rPr>
        <w:t xml:space="preserve"> 选项卡中查看触发的警报。</w:t>
      </w:r>
    </w:p>
    <w:p>
      <w:pPr>
        <w:spacing w:after="40"/>
        <w:jc w:val="center"/>
      </w:pPr>
      <w:r>
        <w:rPr>
          <w:i/>
          <w:color w:val="646464"/>
          <w:sz w:val="18"/>
        </w:rPr>
        <w:t>图：触发警报</w:t>
      </w:r>
    </w:p>
    <w:p>
      <w:pPr>
        <w:spacing w:before="120" w:after="240"/>
        <w:jc w:val="center"/>
      </w:pPr>
      <w:r>
        <w:drawing>
          <wp:inline xmlns:a="http://schemas.openxmlformats.org/drawingml/2006/main" xmlns:pic="http://schemas.openxmlformats.org/drawingml/2006/picture">
            <wp:extent cx="5029200" cy="2254468"/>
            <wp:docPr id="51" name="Picture 51"/>
            <wp:cNvGraphicFramePr>
              <a:graphicFrameLocks noChangeAspect="1"/>
            </wp:cNvGraphicFramePr>
            <a:graphic>
              <a:graphicData uri="http://schemas.openxmlformats.org/drawingml/2006/picture">
                <pic:pic>
                  <pic:nvPicPr>
                    <pic:cNvPr id="0" name="stream-monitoring-firing-alerts.png"/>
                    <pic:cNvPicPr/>
                  </pic:nvPicPr>
                  <pic:blipFill>
                    <a:blip r:embed="rId58"/>
                    <a:stretch>
                      <a:fillRect/>
                    </a:stretch>
                  </pic:blipFill>
                  <pic:spPr>
                    <a:xfrm>
                      <a:off x="0" y="0"/>
                      <a:ext cx="5029200" cy="2254468"/>
                    </a:xfrm>
                    <a:prstGeom prst="rect"/>
                  </pic:spPr>
                </pic:pic>
              </a:graphicData>
            </a:graphic>
          </wp:inline>
        </w:drawing>
      </w:r>
    </w:p>
    <w:p>
      <w:r>
        <w:br w:type="page"/>
      </w:r>
    </w:p>
    <w:p>
      <w:pPr>
        <w:pStyle w:val="Heading1"/>
      </w:pPr>
      <w:r>
        <w:rPr>
          <w:rFonts w:ascii="微软雅黑" w:hAnsi="微软雅黑"/>
        </w:rPr>
        <w:t>流式资源指南</w:t>
      </w:r>
    </w:p>
    <w:p>
      <w:pPr>
        <w:spacing w:line="360" w:lineRule="auto" w:after="120"/>
      </w:pPr>
      <w:r>
        <w:rPr>
          <w:rFonts w:ascii="微软雅黑" w:hAnsi="微软雅黑"/>
          <w:sz w:val="21"/>
        </w:rPr>
        <w:t># 流式资源指南</w:t>
      </w:r>
    </w:p>
    <w:p>
      <w:pPr>
        <w:spacing w:line="360" w:lineRule="auto" w:after="120"/>
      </w:pPr>
      <w:r>
        <w:rPr>
          <w:rFonts w:ascii="微软雅黑" w:hAnsi="微软雅黑"/>
          <w:sz w:val="21"/>
        </w:rPr>
        <w:t>此页面列出了在实现端到端流式工作流时可能需要参考的资源。</w:t>
      </w:r>
    </w:p>
    <w:p>
      <w:pPr>
        <w:spacing w:line="360" w:lineRule="auto" w:after="120"/>
      </w:pPr>
      <w:r>
        <w:rPr>
          <w:rFonts w:ascii="微软雅黑" w:hAnsi="微软雅黑"/>
          <w:sz w:val="21"/>
        </w:rPr>
        <w:t>数据连接支持将数据从多种流式平台同步到 Foundry 流式数据集，然后可以在</w:t>
      </w:r>
      <w:r>
        <w:rPr>
          <w:rFonts w:ascii="微软雅黑" w:hAnsi="微软雅黑"/>
          <w:color w:val="0066CC"/>
          <w:sz w:val="21"/>
          <w:u w:val="single"/>
        </w:rPr>
        <w:t>流式管道</w:t>
      </w:r>
      <w:r>
        <w:rPr>
          <w:rFonts w:ascii="微软雅黑" w:hAnsi="微软雅黑"/>
          <w:sz w:val="21"/>
        </w:rPr>
        <w:t>中使用这些数据集。流式同步使数据能够以低延迟和高吞吐量流入 Foundry，以支持实时决策过程。</w:t>
      </w:r>
    </w:p>
    <w:p>
      <w:pPr>
        <w:spacing w:line="360" w:lineRule="auto" w:after="120"/>
      </w:pPr>
      <w:r>
        <w:rPr>
          <w:rFonts w:ascii="微软雅黑" w:hAnsi="微软雅黑"/>
          <w:sz w:val="21"/>
        </w:rPr>
        <w:t>有两种方式可以将数据从流中同步到 Foundry：</w:t>
      </w:r>
    </w:p>
    <w:p>
      <w:pPr>
        <w:pStyle w:val="ListBullet"/>
        <w:spacing w:line="360" w:lineRule="auto" w:after="120"/>
      </w:pPr>
      <w:r>
        <w:rPr>
          <w:rFonts w:ascii="微软雅黑" w:hAnsi="微软雅黑"/>
          <w:sz w:val="21"/>
        </w:rPr>
        <w:t>数据连接支持将记录从流式平台拉取到 Foundry。与批量同步一样，数据从流中读取并使用</w:t>
      </w:r>
      <w:r>
        <w:rPr>
          <w:rFonts w:ascii="微软雅黑" w:hAnsi="微软雅黑"/>
          <w:color w:val="0066CC"/>
          <w:sz w:val="21"/>
          <w:u w:val="single"/>
        </w:rPr>
        <w:t>代理架构</w:t>
      </w:r>
      <w:r>
        <w:rPr>
          <w:rFonts w:ascii="微软雅黑" w:hAnsi="微软雅黑"/>
          <w:sz w:val="21"/>
        </w:rPr>
        <w:t>通过单向连接同步到 Foundry。</w:t>
      </w:r>
    </w:p>
    <w:p>
      <w:pPr>
        <w:pStyle w:val="ListBullet"/>
        <w:spacing w:line="360" w:lineRule="auto" w:after="120"/>
      </w:pPr>
      <w:r>
        <w:rPr>
          <w:rFonts w:ascii="微软雅黑" w:hAnsi="微软雅黑"/>
          <w:sz w:val="21"/>
        </w:rPr>
        <w:t>如果需要，Foundry 允许通过*流代理*将记录直接推送到 Foundry 流中。</w:t>
      </w:r>
    </w:p>
    <w:p>
      <w:pPr>
        <w:spacing w:line="360" w:lineRule="auto" w:after="120"/>
      </w:pPr>
      <w:r>
        <w:rPr>
          <w:rFonts w:ascii="微软雅黑" w:hAnsi="微软雅黑"/>
          <w:sz w:val="21"/>
        </w:rPr>
        <w:t>Foundry 可以连接到许多流式数据源，包括：</w:t>
      </w:r>
    </w:p>
    <w:p>
      <w:pPr>
        <w:pStyle w:val="ListBullet"/>
        <w:spacing w:line="360" w:lineRule="auto" w:after="120"/>
      </w:pPr>
      <w:r>
        <w:rPr>
          <w:rFonts w:ascii="微软雅黑" w:hAnsi="微软雅黑"/>
          <w:b/>
          <w:sz w:val="21"/>
        </w:rPr>
        <w:t>[Apache Kafka](/zh/foundry/available-connectors/kafka/)</w:t>
      </w:r>
    </w:p>
    <w:p>
      <w:pPr>
        <w:pStyle w:val="ListBullet"/>
        <w:spacing w:line="360" w:lineRule="auto" w:after="120"/>
      </w:pPr>
      <w:r>
        <w:rPr>
          <w:rFonts w:ascii="微软雅黑" w:hAnsi="微软雅黑"/>
          <w:b/>
          <w:sz w:val="21"/>
        </w:rPr>
        <w:t>ActiveMQ</w:t>
      </w:r>
    </w:p>
    <w:p>
      <w:pPr>
        <w:pStyle w:val="ListBullet"/>
        <w:spacing w:line="360" w:lineRule="auto" w:after="120"/>
      </w:pPr>
      <w:r>
        <w:rPr>
          <w:rFonts w:ascii="微软雅黑" w:hAnsi="微软雅黑"/>
          <w:b/>
          <w:sz w:val="21"/>
        </w:rPr>
        <w:t>[Amazon Kinesis](/zh/foundry/available-connectors/amazon-kinesis/)</w:t>
      </w:r>
    </w:p>
    <w:p>
      <w:pPr>
        <w:pStyle w:val="ListBullet"/>
        <w:spacing w:line="360" w:lineRule="auto" w:after="120"/>
      </w:pPr>
      <w:r>
        <w:rPr>
          <w:rFonts w:ascii="微软雅黑" w:hAnsi="微软雅黑"/>
          <w:b/>
          <w:sz w:val="21"/>
        </w:rPr>
        <w:t>Amazon SNS</w:t>
      </w:r>
    </w:p>
    <w:p>
      <w:pPr>
        <w:pStyle w:val="ListBullet"/>
        <w:spacing w:line="360" w:lineRule="auto" w:after="120"/>
      </w:pPr>
      <w:r>
        <w:rPr>
          <w:rFonts w:ascii="微软雅黑" w:hAnsi="微软雅黑"/>
          <w:b/>
          <w:sz w:val="21"/>
        </w:rPr>
        <w:t>Amazon SQS</w:t>
      </w:r>
    </w:p>
    <w:p>
      <w:pPr>
        <w:pStyle w:val="ListBullet"/>
        <w:spacing w:line="360" w:lineRule="auto" w:after="120"/>
      </w:pPr>
      <w:r>
        <w:rPr>
          <w:rFonts w:ascii="微软雅黑" w:hAnsi="微软雅黑"/>
          <w:b/>
          <w:sz w:val="21"/>
        </w:rPr>
        <w:t>[Google Pub/Sub](/zh/foundry/available-connectors/pubsub/)</w:t>
      </w:r>
    </w:p>
    <w:p>
      <w:pPr>
        <w:pStyle w:val="ListBullet"/>
        <w:spacing w:line="360" w:lineRule="auto" w:after="120"/>
      </w:pPr>
      <w:r>
        <w:rPr>
          <w:rFonts w:ascii="微软雅黑" w:hAnsi="微软雅黑"/>
          <w:b/>
          <w:sz w:val="21"/>
        </w:rPr>
        <w:t>IBM MQ</w:t>
      </w:r>
    </w:p>
    <w:p>
      <w:pPr>
        <w:pStyle w:val="ListBullet"/>
        <w:spacing w:line="360" w:lineRule="auto" w:after="120"/>
      </w:pPr>
      <w:r>
        <w:rPr>
          <w:rFonts w:ascii="微软雅黑" w:hAnsi="微软雅黑"/>
          <w:b/>
          <w:sz w:val="21"/>
        </w:rPr>
        <w:t>RabbitMQ</w:t>
      </w:r>
    </w:p>
    <w:p>
      <w:pPr>
        <w:pStyle w:val="ListBullet"/>
        <w:spacing w:line="360" w:lineRule="auto" w:after="120"/>
      </w:pPr>
      <w:r>
        <w:rPr>
          <w:rFonts w:ascii="微软雅黑" w:hAnsi="微软雅黑"/>
          <w:b/>
          <w:sz w:val="21"/>
        </w:rPr>
        <w:t>MQTT (beta 支持)</w:t>
      </w:r>
    </w:p>
    <w:p>
      <w:pPr>
        <w:pStyle w:val="ListBullet"/>
        <w:spacing w:line="360" w:lineRule="auto" w:after="120"/>
      </w:pPr>
      <w:r>
        <w:rPr>
          <w:rFonts w:ascii="微软雅黑" w:hAnsi="微软雅黑"/>
          <w:b/>
          <w:sz w:val="21"/>
        </w:rPr>
        <w:t>Solace</w:t>
      </w:r>
    </w:p>
    <w:p>
      <w:pPr>
        <w:spacing w:line="360" w:lineRule="auto" w:after="120"/>
      </w:pPr>
      <w:r>
        <w:rPr>
          <w:rFonts w:ascii="微软雅黑" w:hAnsi="微软雅黑"/>
          <w:sz w:val="21"/>
        </w:rPr>
        <w:t>此页面列出了在实现端到端流式工作流时可能需要参考的资源。</w:t>
      </w:r>
    </w:p>
    <w:p>
      <w:pPr>
        <w:pStyle w:val="Heading2"/>
      </w:pPr>
      <w:r>
        <w:rPr>
          <w:rFonts w:ascii="微软雅黑" w:hAnsi="微软雅黑"/>
        </w:rPr>
        <w:t>1. 核心概念</w:t>
      </w:r>
    </w:p>
    <w:p>
      <w:pPr>
        <w:spacing w:line="360" w:lineRule="auto" w:after="120"/>
      </w:pPr>
      <w:r>
        <w:rPr>
          <w:rFonts w:ascii="微软雅黑" w:hAnsi="微软雅黑"/>
          <w:sz w:val="21"/>
        </w:rPr>
        <w:t>我们建议查看以下入门概念页面，以了解流是什么、如何存储以及如何处理。</w:t>
      </w:r>
    </w:p>
    <w:p>
      <w:pPr>
        <w:pStyle w:val="ListBullet"/>
        <w:spacing w:line="360" w:lineRule="auto" w:after="120"/>
      </w:pPr>
      <w:r>
        <w:rPr>
          <w:rFonts w:ascii="微软雅黑" w:hAnsi="微软雅黑"/>
          <w:color w:val="0066CC"/>
          <w:sz w:val="21"/>
          <w:u w:val="single"/>
        </w:rPr>
        <w:t>流</w:t>
      </w:r>
    </w:p>
    <w:p>
      <w:pPr>
        <w:pStyle w:val="ListBullet"/>
        <w:spacing w:line="360" w:lineRule="auto" w:after="120"/>
      </w:pPr>
      <w:r>
        <w:rPr>
          <w:rFonts w:ascii="微软雅黑" w:hAnsi="微软雅黑"/>
          <w:color w:val="0066CC"/>
          <w:sz w:val="21"/>
          <w:u w:val="single"/>
        </w:rPr>
        <w:t>Foundry 流式中的 Flink</w:t>
      </w:r>
    </w:p>
    <w:p>
      <w:pPr>
        <w:pStyle w:val="Heading2"/>
      </w:pPr>
      <w:r>
        <w:rPr>
          <w:rFonts w:ascii="微软雅黑" w:hAnsi="微软雅黑"/>
        </w:rPr>
        <w:t>2. 概述</w:t>
      </w:r>
    </w:p>
    <w:p>
      <w:pPr>
        <w:spacing w:line="360" w:lineRule="auto" w:after="120"/>
      </w:pPr>
      <w:r>
        <w:rPr>
          <w:rFonts w:ascii="微软雅黑" w:hAnsi="微软雅黑"/>
          <w:sz w:val="21"/>
        </w:rPr>
        <w:t>这些页面将提供更广泛的视角，以便在确定流是否适合您的应用案例时考虑各种要点。</w:t>
      </w:r>
    </w:p>
    <w:p>
      <w:pPr>
        <w:pStyle w:val="ListBullet"/>
        <w:spacing w:line="360" w:lineRule="auto" w:after="120"/>
      </w:pPr>
      <w:r>
        <w:rPr>
          <w:rFonts w:ascii="微软雅黑" w:hAnsi="微软雅黑"/>
          <w:color w:val="0066CC"/>
          <w:sz w:val="21"/>
          <w:u w:val="single"/>
        </w:rPr>
        <w:t>流式管道概述</w:t>
      </w:r>
    </w:p>
    <w:p>
      <w:pPr>
        <w:pStyle w:val="ListBullet"/>
        <w:spacing w:line="360" w:lineRule="auto" w:after="120"/>
      </w:pPr>
      <w:r>
        <w:rPr>
          <w:rFonts w:ascii="微软雅黑" w:hAnsi="微软雅黑"/>
          <w:color w:val="0066CC"/>
          <w:sz w:val="21"/>
          <w:u w:val="single"/>
        </w:rPr>
        <w:t>比较：流式与批量</w:t>
      </w:r>
    </w:p>
    <w:p>
      <w:pPr>
        <w:pStyle w:val="ListBullet"/>
        <w:spacing w:line="360" w:lineRule="auto" w:after="120"/>
      </w:pPr>
      <w:r>
        <w:rPr>
          <w:rFonts w:ascii="微软雅黑" w:hAnsi="微软雅黑"/>
          <w:color w:val="0066CC"/>
          <w:sz w:val="21"/>
          <w:u w:val="single"/>
        </w:rPr>
        <w:t>性能考量</w:t>
      </w:r>
    </w:p>
    <w:p>
      <w:pPr>
        <w:pStyle w:val="ListBullet"/>
        <w:spacing w:line="360" w:lineRule="auto" w:after="120"/>
      </w:pPr>
      <w:r>
        <w:rPr>
          <w:rFonts w:ascii="微软雅黑" w:hAnsi="微软雅黑"/>
          <w:color w:val="0066CC"/>
          <w:sz w:val="21"/>
          <w:u w:val="single"/>
        </w:rPr>
        <w:t>流式计算使用</w:t>
      </w:r>
    </w:p>
    <w:p>
      <w:pPr>
        <w:pStyle w:val="ListBullet"/>
        <w:spacing w:line="360" w:lineRule="auto" w:after="120"/>
      </w:pPr>
      <w:r>
        <w:rPr>
          <w:rFonts w:ascii="微软雅黑" w:hAnsi="微软雅黑"/>
          <w:color w:val="0066CC"/>
          <w:sz w:val="21"/>
          <w:u w:val="single"/>
        </w:rPr>
        <w:t>流式配置文件</w:t>
      </w:r>
    </w:p>
    <w:p>
      <w:pPr>
        <w:pStyle w:val="Heading2"/>
      </w:pPr>
      <w:r>
        <w:rPr>
          <w:rFonts w:ascii="微软雅黑" w:hAnsi="微软雅黑"/>
        </w:rPr>
        <w:t>3. 连接到数据源</w:t>
      </w:r>
    </w:p>
    <w:p>
      <w:pPr>
        <w:spacing w:line="360" w:lineRule="auto" w:after="120"/>
      </w:pPr>
      <w:r>
        <w:rPr>
          <w:rFonts w:ascii="微软雅黑" w:hAnsi="微软雅黑"/>
          <w:sz w:val="21"/>
        </w:rPr>
        <w:t>您需要完成以下工作流之一，以将外部数据源连接到 Foundry 以进行流式传输。我们建议查看这两种选项，以了解您的应用案例可能的优势和限制。</w:t>
      </w:r>
    </w:p>
    <w:p>
      <w:pPr>
        <w:pStyle w:val="ListBullet"/>
        <w:spacing w:line="360" w:lineRule="auto" w:after="120"/>
      </w:pPr>
      <w:r>
        <w:rPr>
          <w:rFonts w:ascii="微软雅黑" w:hAnsi="微软雅黑"/>
          <w:color w:val="0066CC"/>
          <w:sz w:val="21"/>
          <w:u w:val="single"/>
        </w:rPr>
        <w:t>设置流式同步</w:t>
      </w:r>
    </w:p>
    <w:p>
      <w:pPr>
        <w:pStyle w:val="ListBullet"/>
        <w:spacing w:line="360" w:lineRule="auto" w:after="120"/>
      </w:pPr>
      <w:r>
        <w:rPr>
          <w:rFonts w:ascii="微软雅黑" w:hAnsi="微软雅黑"/>
          <w:color w:val="0066CC"/>
          <w:sz w:val="21"/>
          <w:u w:val="single"/>
        </w:rPr>
        <w:t>将数据推送到流中</w:t>
      </w:r>
    </w:p>
    <w:p>
      <w:pPr>
        <w:pStyle w:val="Heading2"/>
      </w:pPr>
      <w:r>
        <w:rPr>
          <w:rFonts w:ascii="微软雅黑" w:hAnsi="微软雅黑"/>
        </w:rPr>
        <w:t>4. 转换流式数据</w:t>
      </w:r>
    </w:p>
    <w:p>
      <w:pPr>
        <w:spacing w:line="360" w:lineRule="auto" w:after="120"/>
      </w:pPr>
      <w:r>
        <w:rPr>
          <w:rFonts w:ascii="微软雅黑" w:hAnsi="微软雅黑"/>
          <w:sz w:val="21"/>
        </w:rPr>
        <w:t>您可以使用</w:t>
      </w:r>
      <w:r>
        <w:rPr>
          <w:rFonts w:ascii="微软雅黑" w:hAnsi="微软雅黑"/>
          <w:color w:val="0066CC"/>
          <w:sz w:val="21"/>
          <w:u w:val="single"/>
        </w:rPr>
        <w:t>Pipeline Builder</w:t>
      </w:r>
      <w:r>
        <w:rPr>
          <w:rFonts w:ascii="微软雅黑" w:hAnsi="微软雅黑"/>
          <w:sz w:val="21"/>
        </w:rPr>
        <w:t>来变换您的实时数据。Pipeline Builder 变换的输出将仍然是流式数据集，您可以</w:t>
      </w:r>
      <w:r>
        <w:rPr>
          <w:rFonts w:ascii="微软雅黑" w:hAnsi="微软雅黑"/>
          <w:color w:val="0066CC"/>
          <w:sz w:val="21"/>
          <w:u w:val="single"/>
        </w:rPr>
        <w:t>在 Foundry 中实时使用</w:t>
      </w:r>
      <w:r>
        <w:rPr>
          <w:rFonts w:ascii="微软雅黑" w:hAnsi="微软雅黑"/>
          <w:sz w:val="21"/>
        </w:rPr>
        <w:t>。</w:t>
      </w:r>
    </w:p>
    <w:p>
      <w:pPr>
        <w:pStyle w:val="ListBullet"/>
        <w:spacing w:line="360" w:lineRule="auto" w:after="120"/>
      </w:pPr>
      <w:r>
        <w:rPr>
          <w:rFonts w:ascii="微软雅黑" w:hAnsi="微软雅黑"/>
          <w:color w:val="0066CC"/>
          <w:sz w:val="21"/>
          <w:u w:val="single"/>
        </w:rPr>
        <w:t>使用 Pipeline Builder 创建流式管道</w:t>
      </w:r>
    </w:p>
    <w:p>
      <w:pPr>
        <w:pStyle w:val="ListBullet"/>
        <w:spacing w:line="360" w:lineRule="auto" w:after="120"/>
      </w:pPr>
      <w:r>
        <w:rPr>
          <w:rFonts w:ascii="微软雅黑" w:hAnsi="微软雅黑"/>
          <w:color w:val="0066CC"/>
          <w:sz w:val="21"/>
          <w:u w:val="single"/>
        </w:rPr>
        <w:t>将您的流与 Ontology 集成</w:t>
      </w:r>
    </w:p>
    <w:p>
      <w:pPr>
        <w:pStyle w:val="Heading2"/>
      </w:pPr>
      <w:r>
        <w:rPr>
          <w:rFonts w:ascii="微软雅黑" w:hAnsi="微软雅黑"/>
        </w:rPr>
        <w:t>5. 监控流式管道 \[Beta]</w:t>
      </w:r>
    </w:p>
    <w:p>
      <w:pPr>
        <w:spacing w:line="360" w:lineRule="auto" w:after="120"/>
      </w:pPr>
      <w:r>
        <w:rPr>
          <w:rFonts w:ascii="微软雅黑" w:hAnsi="微软雅黑"/>
          <w:sz w:val="21"/>
        </w:rPr>
        <w:t>设置关于管道健康状况的警报。</w:t>
      </w:r>
    </w:p>
    <w:p>
      <w:pPr>
        <w:pStyle w:val="ListBullet"/>
        <w:spacing w:line="360" w:lineRule="auto" w:after="120"/>
      </w:pPr>
      <w:r>
        <w:rPr>
          <w:rFonts w:ascii="微软雅黑" w:hAnsi="微软雅黑"/>
          <w:color w:val="0066CC"/>
          <w:sz w:val="21"/>
          <w:u w:val="single"/>
        </w:rPr>
        <w:t>流监控</w:t>
      </w:r>
    </w:p>
    <w:p>
      <w:pPr>
        <w:pStyle w:val="Heading2"/>
      </w:pPr>
      <w:r>
        <w:rPr>
          <w:rFonts w:ascii="微软雅黑" w:hAnsi="微软雅黑"/>
        </w:rPr>
        <w:t>6. 开发工具</w:t>
      </w:r>
    </w:p>
    <w:p>
      <w:pPr>
        <w:spacing w:line="360" w:lineRule="auto" w:after="120"/>
      </w:pPr>
      <w:r>
        <w:rPr>
          <w:rFonts w:ascii="微软雅黑" w:hAnsi="微软雅黑"/>
          <w:sz w:val="21"/>
        </w:rPr>
        <w:t>在此，您可以找到改进流式管道开发的工具。</w:t>
      </w:r>
    </w:p>
    <w:p>
      <w:pPr>
        <w:pStyle w:val="ListBullet"/>
        <w:spacing w:line="360" w:lineRule="auto" w:after="120"/>
      </w:pPr>
      <w:r>
        <w:rPr>
          <w:rFonts w:ascii="微软雅黑" w:hAnsi="微软雅黑"/>
          <w:color w:val="0066CC"/>
          <w:sz w:val="21"/>
          <w:u w:val="single"/>
        </w:rPr>
        <w:t>重置流</w:t>
      </w:r>
    </w:p>
    <w:p>
      <w:r>
        <w:br w:type="page"/>
      </w:r>
    </w:p>
    <w:p>
      <w:pPr>
        <w:pStyle w:val="Heading1"/>
      </w:pPr>
      <w:r>
        <w:rPr>
          <w:rFonts w:ascii="微软雅黑" w:hAnsi="微软雅黑"/>
        </w:rPr>
        <w:t>流式配置文件</w:t>
      </w:r>
    </w:p>
    <w:p>
      <w:pPr>
        <w:spacing w:line="360" w:lineRule="auto" w:after="120"/>
      </w:pPr>
      <w:r>
        <w:rPr>
          <w:rFonts w:ascii="微软雅黑" w:hAnsi="微软雅黑"/>
          <w:sz w:val="21"/>
        </w:rPr>
        <w:t># 流式配置文件</w:t>
      </w:r>
    </w:p>
    <w:p>
      <w:pPr>
        <w:spacing w:line="360" w:lineRule="auto" w:after="120"/>
      </w:pPr>
      <w:r>
        <w:rPr>
          <w:rFonts w:ascii="微软雅黑" w:hAnsi="微软雅黑"/>
          <w:sz w:val="21"/>
        </w:rPr>
        <w:t>在使用Palantir平台进行流式处理时，Flink运行环境的所有配置方面都为您管理，包括Flink任务配置的合理和具成本效益的默认设置。在大多数情况下，您无需自行配置任何内容，即可在Flink计算引擎上高效地开始运行任务。</w:t>
      </w:r>
    </w:p>
    <w:p>
      <w:pPr>
        <w:spacing w:line="360" w:lineRule="auto" w:after="120"/>
      </w:pPr>
      <w:r>
        <w:rPr>
          <w:rFonts w:ascii="微软雅黑" w:hAnsi="微软雅黑"/>
          <w:sz w:val="21"/>
        </w:rPr>
        <w:t>然而，有时您的任务可能需要比Foundry流式处理默认提供的更多资源。这些资源可能包括额外的并行度（例如，如果您的流具有非常高的吞吐量）或JobManagers或TaskManagers所需的额外资源，如果您有非常大的状态或非常大的记录时可能需要这些资源。</w:t>
      </w:r>
    </w:p>
    <w:p>
      <w:pPr>
        <w:spacing w:line="360" w:lineRule="auto" w:after="120"/>
      </w:pPr>
      <w:r>
        <w:rPr>
          <w:rFonts w:ascii="微软雅黑" w:hAnsi="微软雅黑"/>
          <w:sz w:val="21"/>
        </w:rPr>
        <w:t>对于这些需要额外资源的情况，Palantir提供了一组可用于调整特定配置选项的任务配置文件。请注意，我们仅提供对有限的Flink配置集的访问，因为Palantir流式平台可以为您管理大多数事情。</w:t>
      </w:r>
    </w:p>
    <w:p>
      <w:pPr>
        <w:spacing w:line="360" w:lineRule="auto" w:after="120"/>
      </w:pPr>
      <w:r>
        <w:rPr>
          <w:rFonts w:ascii="微软雅黑" w:hAnsi="微软雅黑"/>
          <w:sz w:val="21"/>
        </w:rPr>
        <w:t>类似于</w:t>
      </w:r>
      <w:r>
        <w:rPr>
          <w:rFonts w:ascii="微软雅黑" w:hAnsi="微软雅黑"/>
          <w:color w:val="0066CC"/>
          <w:sz w:val="21"/>
          <w:u w:val="single"/>
        </w:rPr>
        <w:t>代码库中的Spark配置文件</w:t>
      </w:r>
      <w:r>
        <w:rPr>
          <w:rFonts w:ascii="微软雅黑" w:hAnsi="微软雅黑"/>
          <w:sz w:val="21"/>
        </w:rPr>
        <w:t>，每个流式任务配置文件管理流式任务资源需求的特定组件，流式任务配置文件可以相互组合以满足您的应用案例需求。</w:t>
      </w:r>
    </w:p>
    <w:p>
      <w:pPr>
        <w:pStyle w:val="Heading2"/>
      </w:pPr>
      <w:r>
        <w:rPr>
          <w:rFonts w:ascii="微软雅黑" w:hAnsi="微软雅黑"/>
        </w:rPr>
        <w:t>何时使用流式配置文件</w:t>
      </w:r>
    </w:p>
    <w:p>
      <w:pPr>
        <w:spacing w:line="360" w:lineRule="auto" w:after="120"/>
      </w:pPr>
      <w:r>
        <w:rPr>
          <w:rFonts w:ascii="微软雅黑" w:hAnsi="微软雅黑"/>
          <w:sz w:val="21"/>
        </w:rPr>
        <w:t>通常，您在平台中不需要使用流式配置文件，因为我们的默认流式配置旨在为大多数应用案例提供高效且具成本效益的表现。然而，我们建议仅在您遇到以下与流式任务相关的特定问题时使用流式配置文件：</w:t>
      </w:r>
    </w:p>
    <w:p>
      <w:pPr>
        <w:pStyle w:val="ListBullet"/>
        <w:spacing w:line="360" w:lineRule="auto" w:after="120"/>
      </w:pPr>
      <w:r>
        <w:rPr>
          <w:rFonts w:ascii="微软雅黑" w:hAnsi="微软雅黑"/>
          <w:sz w:val="21"/>
        </w:rPr>
        <w:t>非常高的吞吐量</w:t>
      </w:r>
    </w:p>
    <w:p>
      <w:pPr>
        <w:pStyle w:val="ListBullet"/>
        <w:spacing w:line="360" w:lineRule="auto" w:after="120"/>
      </w:pPr>
      <w:r>
        <w:rPr>
          <w:rFonts w:ascii="微软雅黑" w:hAnsi="微软雅黑"/>
          <w:sz w:val="21"/>
        </w:rPr>
        <w:t>非常大的记录</w:t>
      </w:r>
    </w:p>
    <w:p>
      <w:pPr>
        <w:pStyle w:val="ListBullet"/>
        <w:spacing w:line="360" w:lineRule="auto" w:after="120"/>
      </w:pPr>
      <w:r>
        <w:rPr>
          <w:rFonts w:ascii="微软雅黑" w:hAnsi="微软雅黑"/>
          <w:sz w:val="21"/>
        </w:rPr>
        <w:t>非常大的状态需求</w:t>
      </w:r>
    </w:p>
    <w:p>
      <w:pPr>
        <w:spacing w:line="360" w:lineRule="auto" w:after="120"/>
      </w:pPr>
      <w:r>
        <w:rPr>
          <w:rFonts w:ascii="微软雅黑" w:hAnsi="微软雅黑"/>
          <w:sz w:val="21"/>
        </w:rPr>
        <w:t>您可以通过考虑任务需求、JobTracker界面中可用的日志和出错信息以及对Flink的基本理解来决定需要哪些额外的配置文件。</w:t>
      </w:r>
    </w:p>
    <w:p>
      <w:pPr>
        <w:pStyle w:val="Heading2"/>
      </w:pPr>
      <w:r>
        <w:rPr>
          <w:rFonts w:ascii="微软雅黑" w:hAnsi="微软雅黑"/>
        </w:rPr>
        <w:t>设置流式配置文件</w:t>
      </w:r>
    </w:p>
    <w:p>
      <w:pPr>
        <w:spacing w:line="360" w:lineRule="auto" w:after="120"/>
      </w:pPr>
      <w:r>
        <w:rPr>
          <w:rFonts w:ascii="微软雅黑" w:hAnsi="微软雅黑"/>
          <w:sz w:val="21"/>
        </w:rPr>
        <w:t>流式配置文件的设置界面将根据您使用Foundry流式平台的位置而有所不同。</w:t>
      </w:r>
    </w:p>
    <w:p>
      <w:pPr>
        <w:spacing w:line="360" w:lineRule="auto" w:after="120"/>
      </w:pPr>
      <w:r>
        <w:rPr>
          <w:rFonts w:ascii="微软雅黑" w:hAnsi="微软雅黑"/>
          <w:sz w:val="21"/>
        </w:rPr>
        <w:t>在大多数情况下，在设置流式应用案例时，您会注意到一个选择框，列出了所有可用的流式配置文件。例如，在</w:t>
      </w:r>
      <w:r>
        <w:rPr>
          <w:rFonts w:ascii="微软雅黑" w:hAnsi="微软雅黑"/>
          <w:color w:val="0066CC"/>
          <w:sz w:val="21"/>
          <w:u w:val="single"/>
        </w:rPr>
        <w:t>Pipeline Builder</w:t>
      </w:r>
      <w:r>
        <w:rPr>
          <w:rFonts w:ascii="微软雅黑" w:hAnsi="微软雅黑"/>
          <w:sz w:val="21"/>
        </w:rPr>
        <w:t>中，您可以通过选择</w:t>
      </w:r>
      <w:r>
        <w:rPr>
          <w:rFonts w:ascii="微软雅黑" w:hAnsi="微软雅黑"/>
          <w:b/>
          <w:sz w:val="21"/>
        </w:rPr>
        <w:t>部署</w:t>
      </w:r>
      <w:r>
        <w:rPr>
          <w:rFonts w:ascii="微软雅黑" w:hAnsi="微软雅黑"/>
          <w:sz w:val="21"/>
        </w:rPr>
        <w:t>按钮旁边的搭建设置查看可配置的流式配置文件列表：</w:t>
      </w:r>
    </w:p>
    <w:p>
      <w:pPr>
        <w:spacing w:after="40"/>
        <w:jc w:val="center"/>
      </w:pPr>
      <w:r>
        <w:rPr>
          <w:i/>
          <w:color w:val="646464"/>
          <w:sz w:val="18"/>
        </w:rPr>
        <w:t>图：Pipeline Builder内置Flink配置文件的截图</w:t>
      </w:r>
    </w:p>
    <w:p>
      <w:pPr>
        <w:spacing w:before="120" w:after="240"/>
        <w:jc w:val="center"/>
      </w:pPr>
      <w:r>
        <w:drawing>
          <wp:inline xmlns:a="http://schemas.openxmlformats.org/drawingml/2006/main" xmlns:pic="http://schemas.openxmlformats.org/drawingml/2006/picture">
            <wp:extent cx="5008012" cy="4114800"/>
            <wp:docPr id="52" name="Picture 52"/>
            <wp:cNvGraphicFramePr>
              <a:graphicFrameLocks noChangeAspect="1"/>
            </wp:cNvGraphicFramePr>
            <a:graphic>
              <a:graphicData uri="http://schemas.openxmlformats.org/drawingml/2006/picture">
                <pic:pic>
                  <pic:nvPicPr>
                    <pic:cNvPr id="0" name="pipeline-builder-built-in-flink-profiles.png"/>
                    <pic:cNvPicPr/>
                  </pic:nvPicPr>
                  <pic:blipFill>
                    <a:blip r:embed="rId59"/>
                    <a:stretch>
                      <a:fillRect/>
                    </a:stretch>
                  </pic:blipFill>
                  <pic:spPr>
                    <a:xfrm>
                      <a:off x="0" y="0"/>
                      <a:ext cx="5008012" cy="4114800"/>
                    </a:xfrm>
                    <a:prstGeom prst="rect"/>
                  </pic:spPr>
                </pic:pic>
              </a:graphicData>
            </a:graphic>
          </wp:inline>
        </w:drawing>
      </w:r>
    </w:p>
    <w:p>
      <w:pPr>
        <w:spacing w:line="360" w:lineRule="auto" w:after="120"/>
      </w:pPr>
      <w:r>
        <w:rPr>
          <w:rFonts w:ascii="微软雅黑" w:hAnsi="微软雅黑"/>
          <w:sz w:val="21"/>
        </w:rPr>
        <w:t>此外，Pipeline Builder允许您通过</w:t>
      </w:r>
      <w:r>
        <w:rPr>
          <w:rFonts w:ascii="微软雅黑" w:hAnsi="微软雅黑"/>
          <w:b/>
          <w:sz w:val="21"/>
        </w:rPr>
        <w:t>高级</w:t>
      </w:r>
      <w:r>
        <w:rPr>
          <w:rFonts w:ascii="微软雅黑" w:hAnsi="微软雅黑"/>
          <w:sz w:val="21"/>
        </w:rPr>
        <w:t>配置文件选项组合这些配置文件的不同方面：</w:t>
      </w:r>
    </w:p>
    <w:p>
      <w:pPr>
        <w:spacing w:after="40"/>
        <w:jc w:val="center"/>
      </w:pPr>
      <w:r>
        <w:rPr>
          <w:i/>
          <w:color w:val="646464"/>
          <w:sz w:val="18"/>
        </w:rPr>
        <w:t>图：Pipeline Builder高级Flink配置文件的截图</w:t>
      </w:r>
    </w:p>
    <w:p>
      <w:pPr>
        <w:spacing w:before="120" w:after="240"/>
        <w:jc w:val="center"/>
      </w:pPr>
      <w:r>
        <w:drawing>
          <wp:inline xmlns:a="http://schemas.openxmlformats.org/drawingml/2006/main" xmlns:pic="http://schemas.openxmlformats.org/drawingml/2006/picture">
            <wp:extent cx="5029200" cy="3189248"/>
            <wp:docPr id="53" name="Picture 53"/>
            <wp:cNvGraphicFramePr>
              <a:graphicFrameLocks noChangeAspect="1"/>
            </wp:cNvGraphicFramePr>
            <a:graphic>
              <a:graphicData uri="http://schemas.openxmlformats.org/drawingml/2006/picture">
                <pic:pic>
                  <pic:nvPicPr>
                    <pic:cNvPr id="0" name="pipeline-builder-advanced-flink-profile.png"/>
                    <pic:cNvPicPr/>
                  </pic:nvPicPr>
                  <pic:blipFill>
                    <a:blip r:embed="rId60"/>
                    <a:stretch>
                      <a:fillRect/>
                    </a:stretch>
                  </pic:blipFill>
                  <pic:spPr>
                    <a:xfrm>
                      <a:off x="0" y="0"/>
                      <a:ext cx="5029200" cy="3189248"/>
                    </a:xfrm>
                    <a:prstGeom prst="rect"/>
                  </pic:spPr>
                </pic:pic>
              </a:graphicData>
            </a:graphic>
          </wp:inline>
        </w:drawing>
      </w:r>
    </w:p>
    <w:p>
      <w:pPr>
        <w:spacing w:line="360" w:lineRule="auto" w:after="120"/>
      </w:pPr>
      <w:r>
        <w:rPr>
          <w:rFonts w:ascii="微软雅黑" w:hAnsi="微软雅黑"/>
          <w:sz w:val="21"/>
        </w:rPr>
        <w:t>请注意，您可用的流式配置文件选择可能会根据您使用的应用程序以及任何其他安全性或可见性要求而有所不同。</w:t>
      </w:r>
    </w:p>
    <w:p>
      <w:pPr>
        <w:spacing w:line="360" w:lineRule="auto" w:after="120"/>
      </w:pPr>
      <w:r>
        <w:rPr>
          <w:rFonts w:ascii="微软雅黑" w:hAnsi="微软雅黑"/>
          <w:sz w:val="21"/>
        </w:rPr>
        <w:t># 管理流式配置文件</w:t>
      </w:r>
    </w:p>
    <w:p>
      <w:pPr>
        <w:spacing w:line="360" w:lineRule="auto" w:after="120"/>
      </w:pPr>
      <w:r>
        <w:rPr>
          <w:rFonts w:ascii="微软雅黑" w:hAnsi="微软雅黑"/>
          <w:sz w:val="21"/>
        </w:rPr>
        <w:t>由于流式配置文件可用于确定分配给持续运行的流式任务的总资源数量，因此对这些配置文件施加了一些管理控制以管理</w:t>
      </w:r>
      <w:r>
        <w:rPr>
          <w:rFonts w:ascii="微软雅黑" w:hAnsi="微软雅黑"/>
          <w:color w:val="0066CC"/>
          <w:sz w:val="21"/>
          <w:u w:val="single"/>
        </w:rPr>
        <w:t>流式成本</w:t>
      </w:r>
      <w:r>
        <w:rPr>
          <w:rFonts w:ascii="微软雅黑" w:hAnsi="微软雅黑"/>
          <w:sz w:val="21"/>
        </w:rPr>
        <w:t>。</w:t>
      </w:r>
    </w:p>
    <w:p>
      <w:pPr>
        <w:pStyle w:val="Heading2"/>
      </w:pPr>
      <w:r>
        <w:rPr>
          <w:rFonts w:ascii="微软雅黑" w:hAnsi="微软雅黑"/>
        </w:rPr>
        <w:t>项目引用</w:t>
      </w:r>
    </w:p>
    <w:p>
      <w:pPr>
        <w:spacing w:line="360" w:lineRule="auto" w:after="120"/>
      </w:pPr>
      <w:r>
        <w:rPr>
          <w:rFonts w:ascii="微软雅黑" w:hAnsi="微软雅黑"/>
          <w:sz w:val="21"/>
        </w:rPr>
        <w:t>在Palantir平台中，项目定义了相关工作的概念边界和应用及管理访问的安全边界。默认的安全性和管理控制应用于项目级别。通常，使用数据或资源需要它们存在于或导入到您当前的项目中，从而授予它们</w:t>
      </w:r>
      <w:r>
        <w:rPr>
          <w:rFonts w:ascii="微软雅黑" w:hAnsi="微软雅黑"/>
          <w:color w:val="0066CC"/>
          <w:sz w:val="21"/>
          <w:u w:val="single"/>
        </w:rPr>
        <w:t>项目引用</w:t>
      </w:r>
      <w:r>
        <w:rPr>
          <w:rFonts w:ascii="微软雅黑" w:hAnsi="微软雅黑"/>
          <w:sz w:val="21"/>
        </w:rPr>
        <w:t>。您可以在项目工作区侧面板的</w:t>
      </w:r>
      <w:r>
        <w:rPr>
          <w:rFonts w:ascii="微软雅黑" w:hAnsi="微软雅黑"/>
          <w:b/>
          <w:sz w:val="21"/>
        </w:rPr>
        <w:t>引用</w:t>
      </w:r>
      <w:r>
        <w:rPr>
          <w:rFonts w:ascii="微软雅黑" w:hAnsi="微软雅黑"/>
          <w:sz w:val="21"/>
        </w:rPr>
        <w:t>部分中查看项目中的所有引用。</w:t>
      </w:r>
    </w:p>
    <w:p>
      <w:pPr>
        <w:spacing w:line="360" w:lineRule="auto" w:after="120"/>
      </w:pPr>
      <w:r>
        <w:rPr>
          <w:rFonts w:ascii="微软雅黑" w:hAnsi="微软雅黑"/>
          <w:sz w:val="21"/>
        </w:rPr>
        <w:t>应用于流式配置文件的主要管理控制是要求它们被添加为与相关流式管道或应用程序相同项目的项目引用。如果您尝试使用未导入到项目的流式配置文件，您的任务将失败，并出错提示此缺失的要求。</w:t>
      </w:r>
    </w:p>
    <w:p>
      <w:pPr>
        <w:spacing w:line="360" w:lineRule="auto" w:after="120"/>
      </w:pPr>
      <w:r>
        <w:rPr>
          <w:rFonts w:ascii="微软雅黑" w:hAnsi="微软雅黑"/>
          <w:sz w:val="21"/>
        </w:rPr>
        <w:t>通过使用项目引用作为管理控制，更高级的用户可以被授予代表其他用户将配置文件导入项目的能力。这允许管理员在细粒度级别控制流式配置文件的使用，同时允许更多的操作用户使用他们被授予访问权限的配置文件。</w:t>
      </w:r>
    </w:p>
    <w:p>
      <w:pPr>
        <w:pStyle w:val="Heading2"/>
      </w:pPr>
      <w:r>
        <w:rPr>
          <w:rFonts w:ascii="微软雅黑" w:hAnsi="微软雅黑"/>
        </w:rPr>
        <w:t>将配置文件导入为项目引用</w:t>
      </w:r>
    </w:p>
    <w:p>
      <w:pPr>
        <w:spacing w:line="360" w:lineRule="auto" w:after="120"/>
      </w:pPr>
      <w:r>
        <w:rPr>
          <w:rFonts w:ascii="微软雅黑" w:hAnsi="微软雅黑"/>
          <w:sz w:val="21"/>
        </w:rPr>
        <w:t>通常，配置文件将在相关应用程序中通过使用配置文件选择器组件自动导入到项目中。例如，Pipeline Builder中的配置文件选择器将自动导入所选配置文件。</w:t>
      </w:r>
    </w:p>
    <w:p>
      <w:pPr>
        <w:spacing w:line="360" w:lineRule="auto" w:after="120"/>
      </w:pPr>
      <w:r>
        <w:rPr>
          <w:rFonts w:ascii="微软雅黑" w:hAnsi="微软雅黑"/>
          <w:sz w:val="21"/>
        </w:rPr>
        <w:t>所有用户都可以将大多数配置文件作为项目引用导入到他们的项目中，前提是他们有足够的权限来导入资源。这通常意味着用户已被指派了一个角色，该角色授予他们在项目上</w:t>
      </w:r>
      <w:r>
        <w:rPr>
          <w:rFonts w:ascii="Consolas" w:hAnsi="Consolas"/>
          <w:color w:val="B43C3C"/>
          <w:sz w:val="18"/>
        </w:rPr>
        <w:t>compass:import-resource-to</w:t>
      </w:r>
      <w:r>
        <w:rPr>
          <w:rFonts w:ascii="微软雅黑" w:hAnsi="微软雅黑"/>
          <w:sz w:val="21"/>
        </w:rPr>
        <w:t>权限。您可以通过导航到用户</w:t>
      </w:r>
      <w:r>
        <w:rPr>
          <w:rFonts w:ascii="微软雅黑" w:hAnsi="微软雅黑"/>
          <w:b/>
          <w:sz w:val="21"/>
        </w:rPr>
        <w:t>设置</w:t>
      </w:r>
      <w:r>
        <w:rPr>
          <w:rFonts w:ascii="微软雅黑" w:hAnsi="微软雅黑"/>
          <w:sz w:val="21"/>
        </w:rPr>
        <w:t>中的</w:t>
      </w:r>
      <w:r>
        <w:rPr>
          <w:rFonts w:ascii="微软雅黑" w:hAnsi="微软雅黑"/>
          <w:b/>
          <w:sz w:val="21"/>
        </w:rPr>
        <w:t>角色</w:t>
      </w:r>
      <w:r>
        <w:rPr>
          <w:rFonts w:ascii="微软雅黑" w:hAnsi="微软雅黑"/>
          <w:sz w:val="21"/>
        </w:rPr>
        <w:t>标签找到角色配置。使用页面上的</w:t>
      </w:r>
      <w:r>
        <w:rPr>
          <w:rFonts w:ascii="Consolas" w:hAnsi="Consolas"/>
          <w:color w:val="B43C3C"/>
          <w:sz w:val="18"/>
        </w:rPr>
        <w:t>筛选操作...</w:t>
      </w:r>
      <w:r>
        <w:rPr>
          <w:rFonts w:ascii="微软雅黑" w:hAnsi="微软雅黑"/>
          <w:sz w:val="21"/>
        </w:rPr>
        <w:t>搜索工具搜索权限。</w:t>
      </w:r>
    </w:p>
    <w:p>
      <w:pPr>
        <w:spacing w:line="360" w:lineRule="auto" w:after="120"/>
      </w:pPr>
      <w:r>
        <w:rPr>
          <w:rFonts w:ascii="微软雅黑" w:hAnsi="微软雅黑"/>
          <w:sz w:val="21"/>
        </w:rPr>
        <w:t>要查看所有可用流式配置文件的列表，请访问控制面板的“注册设置”部分中的“流式配置文件”标签。从这里，您可以选择任何特定的配置文件，查看该配置文件作为项目引用添加到的所有项目（您有访问权限），并将其导入到新项目中。您还可以从其已导入的项目中删除配置文件的引用；但请注意，</w:t>
      </w:r>
      <w:r>
        <w:rPr>
          <w:rFonts w:ascii="微软雅黑" w:hAnsi="微软雅黑"/>
          <w:b/>
          <w:sz w:val="21"/>
        </w:rPr>
        <w:t>这将破坏依赖于该配置文件的项目中的任何流式任务</w:t>
      </w:r>
      <w:r>
        <w:rPr>
          <w:rFonts w:ascii="微软雅黑" w:hAnsi="微软雅黑"/>
          <w:sz w:val="21"/>
        </w:rPr>
        <w:t>，因为我们要求将配置文件导入与流式任务相同的项目中才能使用。</w:t>
      </w:r>
    </w:p>
    <w:p>
      <w:pPr>
        <w:pStyle w:val="Heading2"/>
      </w:pPr>
      <w:r>
        <w:rPr>
          <w:rFonts w:ascii="微软雅黑" w:hAnsi="微软雅黑"/>
        </w:rPr>
        <w:t>使用大型流式配置文件</w:t>
      </w:r>
    </w:p>
    <w:p>
      <w:pPr>
        <w:spacing w:line="360" w:lineRule="auto" w:after="120"/>
      </w:pPr>
      <w:r>
        <w:rPr>
          <w:rFonts w:ascii="微软雅黑" w:hAnsi="微软雅黑"/>
          <w:sz w:val="21"/>
        </w:rPr>
        <w:t>对于授予大量资源的配置文件，必须在</w:t>
      </w:r>
      <w:r>
        <w:rPr>
          <w:rFonts w:ascii="微软雅黑" w:hAnsi="微软雅黑"/>
          <w:color w:val="0066CC"/>
          <w:sz w:val="21"/>
          <w:u w:val="single"/>
        </w:rPr>
        <w:t>控制面板</w:t>
      </w:r>
      <w:r>
        <w:rPr>
          <w:rFonts w:ascii="微软雅黑" w:hAnsi="微软雅黑"/>
          <w:sz w:val="21"/>
        </w:rPr>
        <w:t>的</w:t>
      </w:r>
      <w:r>
        <w:rPr>
          <w:rFonts w:ascii="微软雅黑" w:hAnsi="微软雅黑"/>
          <w:b/>
          <w:sz w:val="21"/>
        </w:rPr>
        <w:t>注册设置</w:t>
      </w:r>
      <w:r>
        <w:rPr>
          <w:rFonts w:ascii="微软雅黑" w:hAnsi="微软雅黑"/>
          <w:sz w:val="21"/>
        </w:rPr>
        <w:t>部分中使用</w:t>
      </w:r>
      <w:r>
        <w:rPr>
          <w:rFonts w:ascii="微软雅黑" w:hAnsi="微软雅黑"/>
          <w:b/>
          <w:sz w:val="21"/>
        </w:rPr>
        <w:t>流式配置文件</w:t>
      </w:r>
      <w:r>
        <w:rPr>
          <w:rFonts w:ascii="微软雅黑" w:hAnsi="微软雅黑"/>
          <w:sz w:val="21"/>
        </w:rPr>
        <w:t>标签创建项目引用。此设置仅对被指定为</w:t>
      </w:r>
      <w:r>
        <w:rPr>
          <w:rFonts w:ascii="Consolas" w:hAnsi="Consolas"/>
          <w:color w:val="B43C3C"/>
          <w:sz w:val="18"/>
        </w:rPr>
        <w:t>注册资源管理员</w:t>
      </w:r>
      <w:r>
        <w:rPr>
          <w:rFonts w:ascii="微软雅黑" w:hAnsi="微软雅黑"/>
          <w:sz w:val="21"/>
        </w:rPr>
        <w:t>的用户启用。这些管理员可以在</w:t>
      </w:r>
      <w:r>
        <w:rPr>
          <w:rFonts w:ascii="微软雅黑" w:hAnsi="微软雅黑"/>
          <w:b/>
          <w:sz w:val="21"/>
        </w:rPr>
        <w:t>注册权限</w:t>
      </w:r>
      <w:r>
        <w:rPr>
          <w:rFonts w:ascii="微软雅黑" w:hAnsi="微软雅黑"/>
          <w:sz w:val="21"/>
        </w:rPr>
        <w:t>标签中被指派，并可以将受限配置文件导入到他们有访问权限的任何项目中。</w:t>
      </w:r>
    </w:p>
    <w:p>
      <w:pPr>
        <w:spacing w:line="360" w:lineRule="auto" w:after="120"/>
      </w:pPr>
      <w:r>
        <w:rPr>
          <w:rFonts w:ascii="微软雅黑" w:hAnsi="微软雅黑"/>
          <w:sz w:val="21"/>
        </w:rPr>
        <w:t>一旦管理员将配置文件导入到项目中，任何有权访问该项目的用户都可以使用该配置文件。</w:t>
      </w:r>
    </w:p>
    <w:p>
      <w:r>
        <w:br w:type="page"/>
      </w:r>
    </w:p>
    <w:p>
      <w:pPr>
        <w:pStyle w:val="Heading1"/>
      </w:pPr>
      <w:r>
        <w:rPr>
          <w:rFonts w:ascii="微软雅黑" w:hAnsi="微软雅黑"/>
        </w:rPr>
        <w:t>流</w:t>
      </w:r>
    </w:p>
    <w:p>
      <w:pPr>
        <w:spacing w:line="360" w:lineRule="auto" w:after="120"/>
      </w:pPr>
      <w:r>
        <w:rPr>
          <w:rFonts w:ascii="微软雅黑" w:hAnsi="微软雅黑"/>
          <w:sz w:val="21"/>
        </w:rPr>
        <w:t># 流</w:t>
      </w:r>
    </w:p>
    <w:p>
      <w:pPr>
        <w:spacing w:line="360" w:lineRule="auto" w:after="120"/>
      </w:pPr>
      <w:r>
        <w:rPr>
          <w:rFonts w:ascii="微软雅黑" w:hAnsi="微软雅黑"/>
          <w:sz w:val="21"/>
        </w:rPr>
        <w:t>与</w:t>
      </w:r>
      <w:r>
        <w:rPr>
          <w:rFonts w:ascii="微软雅黑" w:hAnsi="微软雅黑"/>
          <w:color w:val="0066CC"/>
          <w:sz w:val="21"/>
          <w:u w:val="single"/>
        </w:rPr>
        <w:t>数据集</w:t>
      </w:r>
      <w:r>
        <w:rPr>
          <w:rFonts w:ascii="微软雅黑" w:hAnsi="微软雅黑"/>
          <w:sz w:val="21"/>
        </w:rPr>
        <w:t>类似，流是从数据进入Foundry到被下游系统处理的数据表示。流是围绕行集合的封装，这些行集合由持久的“热缓冲区”和由文件系统支持的“冷存储”存储。使用Foundry流的好处是，它们提供与Foundry数据集相同的基本功能（分支、版本控制、权限管理、模式管理等），同时还提供数据的低延迟视图。</w:t>
      </w:r>
    </w:p>
    <w:p>
      <w:pPr>
        <w:spacing w:line="360" w:lineRule="auto" w:after="120"/>
      </w:pPr>
      <w:r>
        <w:rPr>
          <w:rFonts w:ascii="微软雅黑" w:hAnsi="微软雅黑"/>
          <w:sz w:val="21"/>
        </w:rPr>
        <w:t>流本质上是表格的，因此是结构化的。它们以开源格式存储，例如</w:t>
      </w:r>
      <w:r>
        <w:rPr>
          <w:rFonts w:ascii="微软雅黑" w:hAnsi="微软雅黑"/>
          <w:color w:val="0066CC"/>
          <w:sz w:val="21"/>
          <w:u w:val="single"/>
        </w:rPr>
        <w:t>Avro ↗</w:t>
      </w:r>
      <w:r>
        <w:rPr>
          <w:rFonts w:ascii="微软雅黑" w:hAnsi="微软雅黑"/>
          <w:sz w:val="21"/>
        </w:rPr>
        <w:t>，以及关于列本身的元数据。此元数据作为模式与流一起存储。</w:t>
      </w:r>
    </w:p>
    <w:p>
      <w:pPr>
        <w:pStyle w:val="Heading2"/>
      </w:pPr>
      <w:r>
        <w:rPr>
          <w:rFonts w:ascii="微软雅黑" w:hAnsi="微软雅黑"/>
        </w:rPr>
        <w:t>流存储</w:t>
      </w:r>
    </w:p>
    <w:p>
      <w:pPr>
        <w:pStyle w:val="Heading3"/>
      </w:pPr>
      <w:r>
        <w:rPr>
          <w:rFonts w:ascii="微软雅黑" w:hAnsi="微软雅黑"/>
        </w:rPr>
        <w:t>热缓冲区</w:t>
      </w:r>
    </w:p>
    <w:p>
      <w:pPr>
        <w:spacing w:line="360" w:lineRule="auto" w:after="120"/>
      </w:pPr>
      <w:r>
        <w:rPr>
          <w:rFonts w:ascii="微软雅黑" w:hAnsi="微软雅黑"/>
          <w:sz w:val="21"/>
        </w:rPr>
        <w:t>当记录流入Foundry流时，它们存储在一个热缓冲区中，该缓冲区可用于所有支持读取流的下游应用程序。这种热缓冲区对于实现低延迟变换和可用性至关重要。它为数据摄取提供至少一次语义，并为平台中的数据处理提供非必填的精确一次语义。</w:t>
      </w:r>
    </w:p>
    <w:p>
      <w:pPr>
        <w:pStyle w:val="Heading3"/>
      </w:pPr>
      <w:r>
        <w:rPr>
          <w:rFonts w:ascii="微软雅黑" w:hAnsi="微软雅黑"/>
        </w:rPr>
        <w:t>冷缓冲区</w:t>
      </w:r>
    </w:p>
    <w:p>
      <w:pPr>
        <w:spacing w:line="360" w:lineRule="auto" w:after="120"/>
      </w:pPr>
      <w:r>
        <w:rPr>
          <w:rFonts w:ascii="微软雅黑" w:hAnsi="微软雅黑"/>
          <w:sz w:val="21"/>
        </w:rPr>
        <w:t>Foundry流中的所有数据每隔几分钟从热缓冲区转移到冷存储。我们称此过程为“归档”，它使数据可作为标准Foundry数据集使用。这意味着任何Foundry应用程序都可以操作流数据，即使它不实时处理来自热缓冲区的数据。Foundry流的</w:t>
      </w:r>
      <w:r>
        <w:rPr>
          <w:rFonts w:ascii="微软雅黑" w:hAnsi="微软雅黑"/>
          <w:color w:val="0066CC"/>
          <w:sz w:val="21"/>
          <w:u w:val="single"/>
        </w:rPr>
        <w:t>数据集视图</w:t>
      </w:r>
      <w:r>
        <w:rPr>
          <w:rFonts w:ascii="微软雅黑" w:hAnsi="微软雅黑"/>
          <w:sz w:val="21"/>
        </w:rPr>
        <w:t>在平台中表现得完全像标准的Foundry数据集。</w:t>
      </w:r>
    </w:p>
    <w:p>
      <w:pPr>
        <w:pStyle w:val="Heading2"/>
      </w:pPr>
      <w:r>
        <w:rPr>
          <w:rFonts w:ascii="微软雅黑" w:hAnsi="微软雅黑"/>
        </w:rPr>
        <w:t>流处理</w:t>
      </w:r>
    </w:p>
    <w:p>
      <w:pPr>
        <w:pStyle w:val="Heading3"/>
      </w:pPr>
      <w:r>
        <w:rPr>
          <w:rFonts w:ascii="微软雅黑" w:hAnsi="微软雅黑"/>
        </w:rPr>
        <w:t>从流中读取数据</w:t>
      </w:r>
    </w:p>
    <w:p>
      <w:pPr>
        <w:spacing w:line="360" w:lineRule="auto" w:after="120"/>
      </w:pPr>
      <w:r>
        <w:rPr>
          <w:rFonts w:ascii="微软雅黑" w:hAnsi="微软雅黑"/>
          <w:sz w:val="21"/>
        </w:rPr>
        <w:t>启用低延迟的Foundry产品能够读取数据的混合视图。通过从热存储和冷存储层读取数据，产品可以提供数据的完整视图。此视图使产品能够访问仍在热存储中的低延迟记录以及已转移到冷存储的旧数据。通过这种方式，Foundry流可以同时享受热存储的低延迟和冷存储的较低存储成本。</w:t>
      </w:r>
    </w:p>
    <w:p>
      <w:pPr>
        <w:pStyle w:val="Heading3"/>
      </w:pPr>
      <w:r>
        <w:rPr>
          <w:rFonts w:ascii="微软雅黑" w:hAnsi="微软雅黑"/>
        </w:rPr>
        <w:t>事务</w:t>
      </w:r>
    </w:p>
    <w:p>
      <w:pPr>
        <w:spacing w:line="360" w:lineRule="auto" w:after="120"/>
      </w:pPr>
      <w:r>
        <w:rPr>
          <w:rFonts w:ascii="微软雅黑" w:hAnsi="微软雅黑"/>
          <w:sz w:val="21"/>
        </w:rPr>
        <w:t>与标准Foundry</w:t>
      </w:r>
      <w:r>
        <w:rPr>
          <w:rFonts w:ascii="微软雅黑" w:hAnsi="微软雅黑"/>
          <w:color w:val="0066CC"/>
          <w:sz w:val="21"/>
          <w:u w:val="single"/>
        </w:rPr>
        <w:t>数据集</w:t>
      </w:r>
      <w:r>
        <w:rPr>
          <w:rFonts w:ascii="微软雅黑" w:hAnsi="微软雅黑"/>
          <w:sz w:val="21"/>
        </w:rPr>
        <w:t>不同，流本身没有固有的事务边界。相反，每一行被视为其自身的事务，并在每行基础上跟踪状态。这允许以细粒度级别读取流，以便Foundry可以支持基于推送的变换，而无需批处理或轮询。</w:t>
      </w:r>
    </w:p>
    <w:p>
      <w:pPr>
        <w:pStyle w:val="Heading3"/>
      </w:pPr>
      <w:r>
        <w:rPr>
          <w:rFonts w:ascii="微软雅黑" w:hAnsi="微软雅黑"/>
        </w:rPr>
        <w:t>流类型</w:t>
      </w:r>
    </w:p>
    <w:p>
      <w:pPr>
        <w:spacing w:line="360" w:lineRule="auto" w:after="120"/>
      </w:pPr>
      <w:r>
        <w:rPr>
          <w:rFonts w:ascii="微软雅黑" w:hAnsi="微软雅黑"/>
          <w:sz w:val="21"/>
        </w:rPr>
        <w:t>您可以根据流的吞吐量需求为每个流配置流类型。这些流类型设置适用于流将数据写入上文提到的</w:t>
      </w:r>
      <w:r>
        <w:rPr>
          <w:rFonts w:ascii="微软雅黑" w:hAnsi="微软雅黑"/>
          <w:color w:val="0066CC"/>
          <w:sz w:val="21"/>
          <w:u w:val="single"/>
        </w:rPr>
        <w:t>热缓冲区</w:t>
      </w:r>
      <w:r>
        <w:rPr>
          <w:rFonts w:ascii="微软雅黑" w:hAnsi="微软雅黑"/>
          <w:sz w:val="21"/>
        </w:rPr>
        <w:t>存储的方式。只有在流指标表明流在写入热缓冲区存储时受到瓶颈限制时，才需要修改流类型设置。延迟和吞吐量是权衡的，因此在检查流指标后才设置高吞吐量/压缩流类型。</w:t>
      </w:r>
    </w:p>
    <w:p>
      <w:pPr>
        <w:spacing w:line="360" w:lineRule="auto" w:after="120"/>
      </w:pPr>
      <w:r>
        <w:rPr>
          <w:rFonts w:ascii="微软雅黑" w:hAnsi="微软雅黑"/>
          <w:sz w:val="21"/>
        </w:rPr>
        <w:t>我们支持以下流配置：</w:t>
      </w:r>
    </w:p>
    <w:p>
      <w:pPr>
        <w:pStyle w:val="ListNumber"/>
        <w:spacing w:line="360" w:lineRule="auto" w:after="120"/>
      </w:pPr>
      <w:r>
        <w:rPr>
          <w:rFonts w:ascii="微软雅黑" w:hAnsi="微软雅黑"/>
          <w:b/>
          <w:sz w:val="21"/>
        </w:rPr>
        <w:t>高吞吐量：</w:t>
      </w:r>
      <w:r>
        <w:rPr>
          <w:rFonts w:ascii="微软雅黑" w:hAnsi="微软雅黑"/>
          <w:sz w:val="21"/>
        </w:rPr>
        <w:t xml:space="preserve"> 适用于每秒发送大量数据的流。启用此流类型可能会引入一些非零延迟，以换取更高的吞吐量。因此，在启用它之前，应检查流指标。如果平均批处理大小等于最大批处理大小，或者因为Kafka生产者批次过期而任务出错，可能需要启用高吞吐量设置。</w:t>
      </w:r>
    </w:p>
    <w:p>
      <w:pPr>
        <w:pStyle w:val="ListNumber"/>
        <w:spacing w:line="360" w:lineRule="auto" w:after="120"/>
      </w:pPr>
      <w:r>
        <w:rPr>
          <w:rFonts w:ascii="微软雅黑" w:hAnsi="微软雅黑"/>
          <w:b/>
          <w:sz w:val="21"/>
        </w:rPr>
        <w:t>压缩：</w:t>
      </w:r>
      <w:r>
        <w:rPr>
          <w:rFonts w:ascii="微软雅黑" w:hAnsi="微软雅黑"/>
          <w:sz w:val="21"/>
        </w:rPr>
        <w:t xml:space="preserve"> 启用此配置时，在将数据生成到热存储缓冲区时压缩消息批次。压缩有助于减少发送数据的大小，从而降低网络使用和存储成本，但会增加一些用于压缩和解压缩的CPU使用。我们仅建议在流包含大量重复字符串且遇到非零延迟、低于预期吞吐量或记录丢失等网络带宽问题时启用此流类型。</w:t>
      </w:r>
    </w:p>
    <w:p>
      <w:pPr>
        <w:spacing w:line="360" w:lineRule="auto" w:after="120"/>
      </w:pPr>
      <w:r>
        <w:rPr>
          <w:rFonts w:ascii="微软雅黑" w:hAnsi="微软雅黑"/>
          <w:sz w:val="21"/>
        </w:rPr>
        <w:t>您可以在</w:t>
      </w:r>
      <w:r>
        <w:rPr>
          <w:rFonts w:ascii="微软雅黑" w:hAnsi="微软雅黑"/>
          <w:b/>
          <w:sz w:val="21"/>
        </w:rPr>
        <w:t>定义</w:t>
      </w:r>
      <w:r>
        <w:rPr>
          <w:rFonts w:ascii="微软雅黑" w:hAnsi="微软雅黑"/>
          <w:sz w:val="21"/>
        </w:rPr>
        <w:t>页面创建新流时设置流类型。您还可以在流设置中更新现有流的流类型。为此，导航到Foundry中的流数据集，然后在工具栏中选择</w:t>
      </w:r>
      <w:r>
        <w:rPr>
          <w:rFonts w:ascii="微软雅黑" w:hAnsi="微软雅黑"/>
          <w:b/>
          <w:sz w:val="21"/>
        </w:rPr>
        <w:t>详情</w:t>
      </w:r>
      <w:r>
        <w:rPr>
          <w:rFonts w:ascii="微软雅黑" w:hAnsi="微软雅黑"/>
          <w:sz w:val="21"/>
        </w:rPr>
        <w:t>。然后，转到</w:t>
      </w:r>
      <w:r>
        <w:rPr>
          <w:rFonts w:ascii="微软雅黑" w:hAnsi="微软雅黑"/>
          <w:b/>
          <w:sz w:val="21"/>
        </w:rPr>
        <w:t>流设置</w:t>
      </w:r>
      <w:r>
        <w:rPr>
          <w:rFonts w:ascii="微软雅黑" w:hAnsi="微软雅黑"/>
          <w:sz w:val="21"/>
        </w:rPr>
        <w:t>。您可以在此处更改流类型并启用/禁用压缩。</w:t>
      </w:r>
    </w:p>
    <w:p>
      <w:pPr>
        <w:pStyle w:val="Heading3"/>
      </w:pPr>
      <w:r>
        <w:rPr>
          <w:rFonts w:ascii="微软雅黑" w:hAnsi="微软雅黑"/>
        </w:rPr>
        <w:t>分区</w:t>
      </w:r>
    </w:p>
    <w:p>
      <w:pPr>
        <w:spacing w:line="360" w:lineRule="auto" w:after="120"/>
      </w:pPr>
      <w:r>
        <w:rPr>
          <w:rFonts w:ascii="微软雅黑" w:hAnsi="微软雅黑"/>
          <w:sz w:val="21"/>
        </w:rPr>
        <w:t>为了保持高吞吐量，Foundry将输入流分成多个分区以进行并行处理。创建流时，您可以通过吞吐量滑块控制我们创建的分区数。请注意，尽管数据被分区，但对流的所有读取和写入操作都如同只有一个分区一样操作。此行为为Foundry流的消费者和生产者提供了设计透明性。</w:t>
      </w:r>
    </w:p>
    <w:p>
      <w:pPr>
        <w:spacing w:line="360" w:lineRule="auto" w:after="120"/>
      </w:pPr>
      <w:r>
        <w:rPr>
          <w:rFonts w:ascii="微软雅黑" w:hAnsi="微软雅黑"/>
          <w:sz w:val="21"/>
        </w:rPr>
        <w:t>给定流的每个额外分区都会增加流可处理的最大吞吐量。一个好的经验法则是，每个分区可以将吞吐量增加大约5mb/s。</w:t>
      </w:r>
    </w:p>
    <w:p>
      <w:pPr>
        <w:pStyle w:val="Heading3"/>
      </w:pPr>
      <w:r>
        <w:rPr>
          <w:rFonts w:ascii="微软雅黑" w:hAnsi="微软雅黑"/>
        </w:rPr>
        <w:t>支持的字段类型</w:t>
      </w:r>
    </w:p>
    <w:p>
      <w:pPr>
        <w:spacing w:line="360" w:lineRule="auto" w:after="120"/>
      </w:pPr>
      <w:r>
        <w:rPr>
          <w:rFonts w:ascii="微软雅黑" w:hAnsi="微软雅黑"/>
          <w:sz w:val="21"/>
        </w:rPr>
        <w:t>Foundry流支持与Foundry数据集相同的数据类型，包括：</w:t>
      </w:r>
    </w:p>
    <w:p>
      <w:pPr>
        <w:pStyle w:val="ListBullet"/>
        <w:spacing w:line="360" w:lineRule="auto" w:after="120"/>
      </w:pPr>
      <w:r>
        <w:rPr>
          <w:rFonts w:ascii="Consolas" w:hAnsi="Consolas"/>
          <w:color w:val="B43C3C"/>
          <w:sz w:val="18"/>
        </w:rPr>
        <w:t>BOOLEAN</w:t>
      </w:r>
    </w:p>
    <w:p>
      <w:pPr>
        <w:pStyle w:val="ListBullet"/>
        <w:spacing w:line="360" w:lineRule="auto" w:after="120"/>
      </w:pPr>
      <w:r>
        <w:rPr>
          <w:rFonts w:ascii="Consolas" w:hAnsi="Consolas"/>
          <w:color w:val="B43C3C"/>
          <w:sz w:val="18"/>
        </w:rPr>
        <w:t>BYTE</w:t>
      </w:r>
    </w:p>
    <w:p>
      <w:pPr>
        <w:pStyle w:val="ListBullet"/>
        <w:spacing w:line="360" w:lineRule="auto" w:after="120"/>
      </w:pPr>
      <w:r>
        <w:rPr>
          <w:rFonts w:ascii="Consolas" w:hAnsi="Consolas"/>
          <w:color w:val="B43C3C"/>
          <w:sz w:val="18"/>
        </w:rPr>
        <w:t>SHORT</w:t>
      </w:r>
    </w:p>
    <w:p>
      <w:pPr>
        <w:pStyle w:val="ListBullet"/>
        <w:spacing w:line="360" w:lineRule="auto" w:after="120"/>
      </w:pPr>
      <w:r>
        <w:rPr>
          <w:rFonts w:ascii="Consolas" w:hAnsi="Consolas"/>
          <w:color w:val="B43C3C"/>
          <w:sz w:val="18"/>
        </w:rPr>
        <w:t>INTEGER</w:t>
      </w:r>
    </w:p>
    <w:p>
      <w:pPr>
        <w:pStyle w:val="ListBullet"/>
        <w:spacing w:line="360" w:lineRule="auto" w:after="120"/>
      </w:pPr>
      <w:r>
        <w:rPr>
          <w:rFonts w:ascii="Consolas" w:hAnsi="Consolas"/>
          <w:color w:val="B43C3C"/>
          <w:sz w:val="18"/>
        </w:rPr>
        <w:t>LONG</w:t>
      </w:r>
    </w:p>
    <w:p>
      <w:pPr>
        <w:pStyle w:val="ListBullet"/>
        <w:spacing w:line="360" w:lineRule="auto" w:after="120"/>
      </w:pPr>
      <w:r>
        <w:rPr>
          <w:rFonts w:ascii="Consolas" w:hAnsi="Consolas"/>
          <w:color w:val="B43C3C"/>
          <w:sz w:val="18"/>
        </w:rPr>
        <w:t>FLOAT</w:t>
      </w:r>
    </w:p>
    <w:p>
      <w:pPr>
        <w:pStyle w:val="ListBullet"/>
        <w:spacing w:line="360" w:lineRule="auto" w:after="120"/>
      </w:pPr>
      <w:r>
        <w:rPr>
          <w:rFonts w:ascii="Consolas" w:hAnsi="Consolas"/>
          <w:color w:val="B43C3C"/>
          <w:sz w:val="18"/>
        </w:rPr>
        <w:t>DOUBLE</w:t>
      </w:r>
    </w:p>
    <w:p>
      <w:pPr>
        <w:pStyle w:val="ListBullet"/>
        <w:spacing w:line="360" w:lineRule="auto" w:after="120"/>
      </w:pPr>
      <w:r>
        <w:rPr>
          <w:rFonts w:ascii="Consolas" w:hAnsi="Consolas"/>
          <w:color w:val="B43C3C"/>
          <w:sz w:val="18"/>
        </w:rPr>
        <w:t>DECIMAL</w:t>
      </w:r>
    </w:p>
    <w:p>
      <w:pPr>
        <w:pStyle w:val="ListBullet"/>
        <w:spacing w:line="360" w:lineRule="auto" w:after="120"/>
      </w:pPr>
      <w:r>
        <w:rPr>
          <w:rFonts w:ascii="Consolas" w:hAnsi="Consolas"/>
          <w:color w:val="B43C3C"/>
          <w:sz w:val="18"/>
        </w:rPr>
        <w:t>字符串</w:t>
      </w:r>
    </w:p>
    <w:p>
      <w:pPr>
        <w:pStyle w:val="ListBullet"/>
        <w:spacing w:line="360" w:lineRule="auto" w:after="120"/>
      </w:pPr>
      <w:r>
        <w:rPr>
          <w:rFonts w:ascii="Consolas" w:hAnsi="Consolas"/>
          <w:color w:val="B43C3C"/>
          <w:sz w:val="18"/>
        </w:rPr>
        <w:t>MAP</w:t>
      </w:r>
    </w:p>
    <w:p>
      <w:pPr>
        <w:pStyle w:val="ListBullet"/>
        <w:spacing w:line="360" w:lineRule="auto" w:after="120"/>
      </w:pPr>
      <w:r>
        <w:rPr>
          <w:rFonts w:ascii="Consolas" w:hAnsi="Consolas"/>
          <w:color w:val="B43C3C"/>
          <w:sz w:val="18"/>
        </w:rPr>
        <w:t>ARRAY</w:t>
      </w:r>
    </w:p>
    <w:p>
      <w:pPr>
        <w:pStyle w:val="ListBullet"/>
        <w:spacing w:line="360" w:lineRule="auto" w:after="120"/>
      </w:pPr>
      <w:r>
        <w:rPr>
          <w:rFonts w:ascii="Consolas" w:hAnsi="Consolas"/>
          <w:color w:val="B43C3C"/>
          <w:sz w:val="18"/>
        </w:rPr>
        <w:t>STRUCT</w:t>
      </w:r>
    </w:p>
    <w:p>
      <w:pPr>
        <w:pStyle w:val="ListBullet"/>
        <w:spacing w:line="360" w:lineRule="auto" w:after="120"/>
      </w:pPr>
      <w:r>
        <w:rPr>
          <w:rFonts w:ascii="Consolas" w:hAnsi="Consolas"/>
          <w:color w:val="B43C3C"/>
          <w:sz w:val="18"/>
        </w:rPr>
        <w:t>BINARY</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TIMESTAMP</w:t>
      </w:r>
    </w:p>
    <w:p>
      <w:pPr>
        <w:pStyle w:val="Heading3"/>
      </w:pPr>
      <w:r>
        <w:rPr>
          <w:rFonts w:ascii="微软雅黑" w:hAnsi="微软雅黑"/>
        </w:rPr>
        <w:t>流任务</w:t>
      </w:r>
    </w:p>
    <w:p>
      <w:pPr>
        <w:spacing w:line="360" w:lineRule="auto" w:after="120"/>
      </w:pPr>
      <w:r>
        <w:rPr>
          <w:rFonts w:ascii="微软雅黑" w:hAnsi="微软雅黑"/>
          <w:sz w:val="21"/>
        </w:rPr>
        <w:t>所有流任务在内部表示为</w:t>
      </w:r>
      <w:r>
        <w:rPr>
          <w:rFonts w:ascii="微软雅黑" w:hAnsi="微软雅黑"/>
          <w:color w:val="0066CC"/>
          <w:sz w:val="21"/>
          <w:u w:val="single"/>
        </w:rPr>
        <w:t>任务图</w:t>
      </w:r>
      <w:r>
        <w:rPr>
          <w:rFonts w:ascii="微软雅黑" w:hAnsi="微软雅黑"/>
          <w:sz w:val="21"/>
        </w:rPr>
        <w:t>，它提供流管道的可视化表示。随着数据的处理，它根据有向边在任务图中流动，直到达到数据接收器。</w:t>
      </w:r>
    </w:p>
    <w:p>
      <w:pPr>
        <w:pStyle w:val="Heading3"/>
      </w:pPr>
      <w:r>
        <w:rPr>
          <w:rFonts w:ascii="微软雅黑" w:hAnsi="微软雅黑"/>
        </w:rPr>
        <w:t>检查点</w:t>
      </w:r>
    </w:p>
    <w:p>
      <w:pPr>
        <w:spacing w:line="360" w:lineRule="auto" w:after="120"/>
      </w:pPr>
      <w:r>
        <w:rPr>
          <w:rFonts w:ascii="微软雅黑" w:hAnsi="微软雅黑"/>
          <w:sz w:val="21"/>
        </w:rPr>
        <w:t>Foundry流通过在检查点中存储活动状态和当前处理位置来提供处理数据时的容错能力。</w:t>
      </w:r>
    </w:p>
    <w:p>
      <w:pPr>
        <w:spacing w:line="360" w:lineRule="auto" w:after="120"/>
      </w:pPr>
      <w:r>
        <w:rPr>
          <w:rFonts w:ascii="微软雅黑" w:hAnsi="微软雅黑"/>
          <w:sz w:val="21"/>
        </w:rPr>
        <w:t>检查点由数据源定期生成，并与来自源的数据一起流经任务图。</w:t>
      </w:r>
    </w:p>
    <w:p>
      <w:pPr>
        <w:spacing w:line="360" w:lineRule="auto" w:after="120"/>
      </w:pPr>
      <w:r>
        <w:rPr>
          <w:rFonts w:ascii="微软雅黑" w:hAnsi="微软雅黑"/>
          <w:sz w:val="21"/>
        </w:rPr>
        <w:t>一旦检查点到达任务图末端的所有数据接收器，源在该检查点之前发出的所有行也必须到达接收器。</w:t>
      </w:r>
    </w:p>
    <w:p>
      <w:pPr>
        <w:spacing w:line="360" w:lineRule="auto" w:after="120"/>
      </w:pPr>
      <w:r>
        <w:rPr>
          <w:rFonts w:ascii="微软雅黑" w:hAnsi="微软雅黑"/>
          <w:sz w:val="21"/>
        </w:rPr>
        <w:t>检查点允许流任务从最新检查点的位置重新启动，而不是重新处理已看到的数据。检查点存储任务图中每个操作符的状态，以及流中的最后处理数据点。在流任务的</w:t>
      </w:r>
      <w:r>
        <w:rPr>
          <w:rFonts w:ascii="微软雅黑" w:hAnsi="微软雅黑"/>
          <w:b/>
          <w:sz w:val="21"/>
        </w:rPr>
        <w:t>任务详情</w:t>
      </w:r>
      <w:r>
        <w:rPr>
          <w:rFonts w:ascii="微软雅黑" w:hAnsi="微软雅黑"/>
          <w:sz w:val="21"/>
        </w:rPr>
        <w:t>页面上，您可以实时查看流最后几个检查点的状态、大小和持续时间。</w:t>
      </w:r>
    </w:p>
    <w:p>
      <w:pPr>
        <w:pStyle w:val="Heading2"/>
      </w:pPr>
      <w:r>
        <w:rPr>
          <w:rFonts w:ascii="微软雅黑" w:hAnsi="微软雅黑"/>
        </w:rPr>
        <w:t>流一致性保证</w:t>
      </w:r>
    </w:p>
    <w:p>
      <w:pPr>
        <w:spacing w:line="360" w:lineRule="auto" w:after="120"/>
      </w:pPr>
      <w:r>
        <w:rPr>
          <w:rFonts w:ascii="微软雅黑" w:hAnsi="微软雅黑"/>
          <w:sz w:val="21"/>
        </w:rPr>
        <w:t>Foundry中的流操作具有两个一致性保证：</w:t>
      </w:r>
      <w:r>
        <w:rPr>
          <w:rFonts w:ascii="Consolas" w:hAnsi="Consolas"/>
          <w:color w:val="B43C3C"/>
          <w:sz w:val="18"/>
        </w:rPr>
        <w:t>至少一次</w:t>
      </w:r>
      <w:r>
        <w:rPr>
          <w:rFonts w:ascii="微软雅黑" w:hAnsi="微软雅黑"/>
          <w:sz w:val="21"/>
        </w:rPr>
        <w:t>和</w:t>
      </w:r>
      <w:r>
        <w:rPr>
          <w:rFonts w:ascii="Consolas" w:hAnsi="Consolas"/>
          <w:color w:val="B43C3C"/>
          <w:sz w:val="18"/>
        </w:rPr>
        <w:t>精确一次</w:t>
      </w:r>
      <w:r>
        <w:rPr>
          <w:rFonts w:ascii="微软雅黑" w:hAnsi="微软雅黑"/>
          <w:sz w:val="21"/>
        </w:rPr>
        <w:t>。</w:t>
      </w:r>
    </w:p>
    <w:p>
      <w:pPr>
        <w:pStyle w:val="Heading3"/>
      </w:pPr>
      <w:r>
        <w:rPr>
          <w:rFonts w:ascii="微软雅黑" w:hAnsi="微软雅黑"/>
        </w:rPr>
        <w:t>至少一次语义</w:t>
      </w:r>
    </w:p>
    <w:p>
      <w:pPr>
        <w:spacing w:line="360" w:lineRule="auto" w:after="120"/>
      </w:pPr>
      <w:r>
        <w:rPr>
          <w:rFonts w:ascii="Consolas" w:hAnsi="Consolas"/>
          <w:color w:val="B43C3C"/>
          <w:sz w:val="18"/>
        </w:rPr>
        <w:t>至少一次</w:t>
      </w:r>
      <w:r>
        <w:rPr>
          <w:rFonts w:ascii="微软雅黑" w:hAnsi="微软雅黑"/>
          <w:sz w:val="21"/>
        </w:rPr>
        <w:t>语义保证消息至少会下游传递一次，但在检查点出错或重试的情况下可能会多次传递。这意味着可能会出现重复，消费应用程序应设计为处理或容忍重复消息。</w:t>
      </w:r>
    </w:p>
    <w:p>
      <w:pPr>
        <w:spacing w:line="360" w:lineRule="auto" w:after="120"/>
      </w:pPr>
      <w:r>
        <w:rPr>
          <w:rFonts w:ascii="微软雅黑" w:hAnsi="微软雅黑"/>
          <w:sz w:val="21"/>
        </w:rPr>
        <w:t>#### 至少一次语义的好处</w:t>
      </w:r>
    </w:p>
    <w:p>
      <w:pPr>
        <w:pStyle w:val="ListBullet"/>
        <w:spacing w:line="360" w:lineRule="auto" w:after="120"/>
      </w:pPr>
      <w:r>
        <w:rPr>
          <w:rFonts w:ascii="微软雅黑" w:hAnsi="微软雅黑"/>
          <w:sz w:val="21"/>
        </w:rPr>
        <w:t>确保没有消息丢失，提供高水平的消息耐久性。</w:t>
      </w:r>
    </w:p>
    <w:p>
      <w:pPr>
        <w:pStyle w:val="ListBullet"/>
        <w:spacing w:line="360" w:lineRule="auto" w:after="120"/>
      </w:pPr>
      <w:r>
        <w:rPr>
          <w:rFonts w:ascii="微软雅黑" w:hAnsi="微软雅黑"/>
          <w:sz w:val="21"/>
        </w:rPr>
        <w:t>与</w:t>
      </w:r>
      <w:r>
        <w:rPr>
          <w:rFonts w:ascii="Consolas" w:hAnsi="Consolas"/>
          <w:color w:val="B43C3C"/>
          <w:sz w:val="18"/>
        </w:rPr>
        <w:t>精确一次</w:t>
      </w:r>
      <w:r>
        <w:rPr>
          <w:rFonts w:ascii="微软雅黑" w:hAnsi="微软雅黑"/>
          <w:sz w:val="21"/>
        </w:rPr>
        <w:t>语义相比，通常提供较低的延迟，因为消息可以在不阻塞记录的账簿的情况下传递。</w:t>
      </w:r>
    </w:p>
    <w:p>
      <w:pPr>
        <w:spacing w:line="360" w:lineRule="auto" w:after="120"/>
      </w:pPr>
      <w:r>
        <w:rPr>
          <w:rFonts w:ascii="微软雅黑" w:hAnsi="微软雅黑"/>
          <w:sz w:val="21"/>
        </w:rPr>
        <w:t>#### 至少一次语义的缺点</w:t>
      </w:r>
    </w:p>
    <w:p>
      <w:pPr>
        <w:pStyle w:val="ListBullet"/>
        <w:spacing w:line="360" w:lineRule="auto" w:after="120"/>
      </w:pPr>
      <w:r>
        <w:rPr>
          <w:rFonts w:ascii="微软雅黑" w:hAnsi="微软雅黑"/>
          <w:sz w:val="21"/>
        </w:rPr>
        <w:t>需要下游消费应用程序能够处理重复消息。</w:t>
      </w:r>
    </w:p>
    <w:p>
      <w:pPr>
        <w:pStyle w:val="Heading3"/>
      </w:pPr>
      <w:r>
        <w:rPr>
          <w:rFonts w:ascii="微软雅黑" w:hAnsi="微软雅黑"/>
        </w:rPr>
        <w:t>精确一次语义</w:t>
      </w:r>
    </w:p>
    <w:p>
      <w:pPr>
        <w:spacing w:line="360" w:lineRule="auto" w:after="120"/>
      </w:pPr>
      <w:r>
        <w:rPr>
          <w:rFonts w:ascii="Consolas" w:hAnsi="Consolas"/>
          <w:color w:val="B43C3C"/>
          <w:sz w:val="18"/>
        </w:rPr>
        <w:t>精确一次</w:t>
      </w:r>
      <w:r>
        <w:rPr>
          <w:rFonts w:ascii="微软雅黑" w:hAnsi="微软雅黑"/>
          <w:sz w:val="21"/>
        </w:rPr>
        <w:t>语义保证每条消息将被传递和处理一次，确保没有重复或丢失的消息。这是消息传递保证的最强级别，可以大大简化消费应用程序的设计。</w:t>
      </w:r>
    </w:p>
    <w:p>
      <w:pPr>
        <w:spacing w:line="360" w:lineRule="auto" w:after="120"/>
      </w:pPr>
      <w:r>
        <w:rPr>
          <w:rFonts w:ascii="微软雅黑" w:hAnsi="微软雅黑"/>
          <w:sz w:val="21"/>
        </w:rPr>
        <w:t>#### 精确一次语义的好处</w:t>
      </w:r>
    </w:p>
    <w:p>
      <w:pPr>
        <w:pStyle w:val="ListBullet"/>
        <w:spacing w:line="360" w:lineRule="auto" w:after="120"/>
      </w:pPr>
      <w:r>
        <w:rPr>
          <w:rFonts w:ascii="微软雅黑" w:hAnsi="微软雅黑"/>
          <w:sz w:val="21"/>
        </w:rPr>
        <w:t>确保没有消息丢失，提供高水平的消息耐久性。</w:t>
      </w:r>
    </w:p>
    <w:p>
      <w:pPr>
        <w:pStyle w:val="ListBullet"/>
        <w:spacing w:line="360" w:lineRule="auto" w:after="120"/>
      </w:pPr>
      <w:r>
        <w:rPr>
          <w:rFonts w:ascii="微软雅黑" w:hAnsi="微软雅黑"/>
          <w:sz w:val="21"/>
        </w:rPr>
        <w:t>消除消费应用程序处理重复消息或实施幂等处理的需要。</w:t>
      </w:r>
    </w:p>
    <w:p>
      <w:pPr>
        <w:pStyle w:val="ListBullet"/>
        <w:spacing w:line="360" w:lineRule="auto" w:after="120"/>
      </w:pPr>
      <w:r>
        <w:rPr>
          <w:rFonts w:ascii="微软雅黑" w:hAnsi="微软雅黑"/>
          <w:sz w:val="21"/>
        </w:rPr>
        <w:t>确保处理结果的一致性，因为每条消息仅处理一次。</w:t>
      </w:r>
    </w:p>
    <w:p>
      <w:pPr>
        <w:spacing w:line="360" w:lineRule="auto" w:after="120"/>
      </w:pPr>
      <w:r>
        <w:rPr>
          <w:rFonts w:ascii="微软雅黑" w:hAnsi="微软雅黑"/>
          <w:sz w:val="21"/>
        </w:rPr>
        <w:t>#### 精确一次语义的缺点</w:t>
      </w:r>
    </w:p>
    <w:p>
      <w:pPr>
        <w:pStyle w:val="ListBullet"/>
        <w:spacing w:line="360" w:lineRule="auto" w:after="120"/>
      </w:pPr>
      <w:r>
        <w:rPr>
          <w:rFonts w:ascii="微软雅黑" w:hAnsi="微软雅黑"/>
          <w:sz w:val="21"/>
        </w:rPr>
        <w:t>与</w:t>
      </w:r>
      <w:r>
        <w:rPr>
          <w:rFonts w:ascii="Consolas" w:hAnsi="Consolas"/>
          <w:color w:val="B43C3C"/>
          <w:sz w:val="18"/>
        </w:rPr>
        <w:t>至少一次</w:t>
      </w:r>
      <w:r>
        <w:rPr>
          <w:rFonts w:ascii="微软雅黑" w:hAnsi="微软雅黑"/>
          <w:sz w:val="21"/>
        </w:rPr>
        <w:t>语义相比，通常会引入更高的延迟，因为需要额外的协调和跟踪以确保消息不被重复。Foundry流通过检查点解决了这个问题。</w:t>
      </w:r>
    </w:p>
    <w:p>
      <w:pPr>
        <w:pStyle w:val="Heading3"/>
      </w:pPr>
      <w:r>
        <w:rPr>
          <w:rFonts w:ascii="微软雅黑" w:hAnsi="微软雅黑"/>
        </w:rPr>
        <w:t>延迟权衡</w:t>
      </w:r>
    </w:p>
    <w:p>
      <w:pPr>
        <w:spacing w:line="360" w:lineRule="auto" w:after="120"/>
      </w:pPr>
      <w:r>
        <w:rPr>
          <w:rFonts w:ascii="微软雅黑" w:hAnsi="微软雅黑"/>
          <w:sz w:val="21"/>
        </w:rPr>
        <w:t>在</w:t>
      </w:r>
      <w:r>
        <w:rPr>
          <w:rFonts w:ascii="Consolas" w:hAnsi="Consolas"/>
          <w:color w:val="B43C3C"/>
          <w:sz w:val="18"/>
        </w:rPr>
        <w:t>至少一次</w:t>
      </w:r>
      <w:r>
        <w:rPr>
          <w:rFonts w:ascii="微软雅黑" w:hAnsi="微软雅黑"/>
          <w:sz w:val="21"/>
        </w:rPr>
        <w:t>和</w:t>
      </w:r>
      <w:r>
        <w:rPr>
          <w:rFonts w:ascii="Consolas" w:hAnsi="Consolas"/>
          <w:color w:val="B43C3C"/>
          <w:sz w:val="18"/>
        </w:rPr>
        <w:t>精确一次</w:t>
      </w:r>
      <w:r>
        <w:rPr>
          <w:rFonts w:ascii="微软雅黑" w:hAnsi="微软雅黑"/>
          <w:sz w:val="21"/>
        </w:rPr>
        <w:t>语义之间进行选择通常涉及延迟和处理复杂性的权衡。</w:t>
      </w:r>
      <w:r>
        <w:rPr>
          <w:rFonts w:ascii="Consolas" w:hAnsi="Consolas"/>
          <w:color w:val="B43C3C"/>
          <w:sz w:val="18"/>
        </w:rPr>
        <w:t>至少一次</w:t>
      </w:r>
      <w:r>
        <w:rPr>
          <w:rFonts w:ascii="微软雅黑" w:hAnsi="微软雅黑"/>
          <w:sz w:val="21"/>
        </w:rPr>
        <w:t>语义通常提供较低的延迟，因为它们不需要复杂的协调或跟踪机制，但将更多责任放在消费应用程序上，以处理重复和维护一致性。当启用</w:t>
      </w:r>
      <w:r>
        <w:rPr>
          <w:rFonts w:ascii="Consolas" w:hAnsi="Consolas"/>
          <w:color w:val="B43C3C"/>
          <w:sz w:val="18"/>
        </w:rPr>
        <w:t>精确一次</w:t>
      </w:r>
      <w:r>
        <w:rPr>
          <w:rFonts w:ascii="微软雅黑" w:hAnsi="微软雅黑"/>
          <w:sz w:val="21"/>
        </w:rPr>
        <w:t>时，记录只有在每个检查点完成后才可见下游（默认是两秒）。值得注意的是，记录仍然以流速度处理，但只有在“最终确定”时才会显示在下游。</w:t>
      </w:r>
    </w:p>
    <w:p>
      <w:pPr>
        <w:spacing w:line="360" w:lineRule="auto" w:after="120"/>
      </w:pPr>
      <w:r>
        <w:rPr>
          <w:rFonts w:ascii="微软雅黑" w:hAnsi="微软雅黑"/>
          <w:sz w:val="21"/>
        </w:rPr>
        <w:t>另一方面，</w:t>
      </w:r>
      <w:r>
        <w:rPr>
          <w:rFonts w:ascii="Consolas" w:hAnsi="Consolas"/>
          <w:color w:val="B43C3C"/>
          <w:sz w:val="18"/>
        </w:rPr>
        <w:t>精确一次</w:t>
      </w:r>
      <w:r>
        <w:rPr>
          <w:rFonts w:ascii="微软雅黑" w:hAnsi="微软雅黑"/>
          <w:sz w:val="21"/>
        </w:rPr>
        <w:t>语义提供更强的保证，可以通过确保每条消息仅处理一次来简化消费应用程序的设计。然而，这种保证需要较高的延迟，因为需要额外的开销。</w:t>
      </w:r>
    </w:p>
    <w:p>
      <w:pPr>
        <w:spacing w:line="360" w:lineRule="auto" w:after="120"/>
      </w:pPr>
      <w:r>
        <w:rPr>
          <w:rFonts w:ascii="微软雅黑" w:hAnsi="微软雅黑"/>
          <w:sz w:val="21"/>
        </w:rPr>
        <w:t>目前Foundry中的流源仅支持提取和以</w:t>
      </w:r>
      <w:r>
        <w:rPr>
          <w:rFonts w:ascii="Consolas" w:hAnsi="Consolas"/>
          <w:color w:val="B43C3C"/>
          <w:sz w:val="18"/>
        </w:rPr>
        <w:t>至少一次</w:t>
      </w:r>
      <w:r>
        <w:rPr>
          <w:rFonts w:ascii="微软雅黑" w:hAnsi="微软雅黑"/>
          <w:sz w:val="21"/>
        </w:rPr>
        <w:t>语义导出。流管道*确实*支持</w:t>
      </w:r>
      <w:r>
        <w:rPr>
          <w:rFonts w:ascii="Consolas" w:hAnsi="Consolas"/>
          <w:color w:val="B43C3C"/>
          <w:sz w:val="18"/>
        </w:rPr>
        <w:t>至少一次</w:t>
      </w:r>
      <w:r>
        <w:rPr>
          <w:rFonts w:ascii="微软雅黑" w:hAnsi="微软雅黑"/>
          <w:sz w:val="21"/>
        </w:rPr>
        <w:t>和</w:t>
      </w:r>
      <w:r>
        <w:rPr>
          <w:rFonts w:ascii="Consolas" w:hAnsi="Consolas"/>
          <w:color w:val="B43C3C"/>
          <w:sz w:val="18"/>
        </w:rPr>
        <w:t>精确一次</w:t>
      </w:r>
      <w:r>
        <w:rPr>
          <w:rFonts w:ascii="微软雅黑" w:hAnsi="微软雅黑"/>
          <w:sz w:val="21"/>
        </w:rPr>
        <w:t>语义，这可以在Pipeline Builder的</w:t>
      </w:r>
      <w:r>
        <w:rPr>
          <w:rFonts w:ascii="微软雅黑" w:hAnsi="微软雅黑"/>
          <w:b/>
          <w:sz w:val="21"/>
        </w:rPr>
        <w:t>搭建设置</w:t>
      </w:r>
      <w:r>
        <w:rPr>
          <w:rFonts w:ascii="微软雅黑" w:hAnsi="微软雅黑"/>
          <w:sz w:val="21"/>
        </w:rPr>
        <w:t>部分进行配置。</w:t>
      </w:r>
    </w:p>
    <w:p>
      <w:pPr>
        <w:spacing w:after="40"/>
        <w:jc w:val="center"/>
      </w:pPr>
      <w:r>
        <w:rPr>
          <w:i/>
          <w:color w:val="646464"/>
          <w:sz w:val="18"/>
        </w:rPr>
        <w:t>图：配置流语义</w:t>
      </w:r>
    </w:p>
    <w:p>
      <w:pPr>
        <w:spacing w:before="120" w:after="240"/>
        <w:jc w:val="center"/>
      </w:pPr>
      <w:r>
        <w:drawing>
          <wp:inline xmlns:a="http://schemas.openxmlformats.org/drawingml/2006/main" xmlns:pic="http://schemas.openxmlformats.org/drawingml/2006/picture">
            <wp:extent cx="5029200" cy="3451288"/>
            <wp:docPr id="54" name="Picture 54"/>
            <wp:cNvGraphicFramePr>
              <a:graphicFrameLocks noChangeAspect="1"/>
            </wp:cNvGraphicFramePr>
            <a:graphic>
              <a:graphicData uri="http://schemas.openxmlformats.org/drawingml/2006/picture">
                <pic:pic>
                  <pic:nvPicPr>
                    <pic:cNvPr id="0" name="configuring-streaming-semantics.png"/>
                    <pic:cNvPicPr/>
                  </pic:nvPicPr>
                  <pic:blipFill>
                    <a:blip r:embed="rId61"/>
                    <a:stretch>
                      <a:fillRect/>
                    </a:stretch>
                  </pic:blipFill>
                  <pic:spPr>
                    <a:xfrm>
                      <a:off x="0" y="0"/>
                      <a:ext cx="5029200" cy="3451288"/>
                    </a:xfrm>
                    <a:prstGeom prst="rect"/>
                  </pic:spPr>
                </pic:pic>
              </a:graphicData>
            </a:graphic>
          </wp:inline>
        </w:drawing>
      </w:r>
    </w:p>
    <w:p>
      <w:r>
        <w:br w:type="page"/>
      </w:r>
    </w:p>
    <w:p>
      <w:pPr>
        <w:pStyle w:val="Heading1"/>
      </w:pPr>
      <w:r>
        <w:rPr>
          <w:rFonts w:ascii="微软雅黑" w:hAnsi="微软雅黑"/>
        </w:rPr>
        <w:t>视图</w:t>
      </w:r>
    </w:p>
    <w:p>
      <w:pPr>
        <w:spacing w:line="360" w:lineRule="auto" w:after="120"/>
      </w:pPr>
      <w:r>
        <w:rPr>
          <w:rFonts w:ascii="微软雅黑" w:hAnsi="微软雅黑"/>
          <w:sz w:val="21"/>
        </w:rPr>
        <w:t># 视图</w:t>
      </w:r>
    </w:p>
    <w:p>
      <w:r>
        <w:rPr>
          <w:rFonts w:ascii="微软雅黑" w:hAnsi="微软雅黑"/>
          <w:b/>
        </w:rPr>
        <w:t>视图</w:t>
      </w:r>
      <w:r>
        <w:rPr>
          <w:rFonts w:ascii="微软雅黑" w:hAnsi="微软雅黑"/>
        </w:rPr>
        <w:t>：的行为类似于 Foundry 的[数据集视图](/zh/foundry/data-integration/datasets/)，但它不包含任何数据文件。相反，当视图被读取时，它由其他数据集（称为支撑数据集）的并集组成。视图可以被看作是“指向”它们的支撑数据集。通过添加主键，视图还可以自动执行数据去重。如果视图的任何支撑数据集有新数据，系统将自动触发搭建以确保去重后的最新数据可用。视图的搭建与常规数据集类似，但几乎瞬间完成，因为在搭建过程中实际上没有读取或写入任何数据。</w:t>
      </w:r>
    </w:p>
    <w:p>
      <w:pPr>
        <w:spacing w:line="360" w:lineRule="auto" w:after="120"/>
      </w:pPr>
      <w:r>
        <w:rPr>
          <w:rFonts w:ascii="微软雅黑" w:hAnsi="微软雅黑"/>
          <w:sz w:val="21"/>
        </w:rPr>
        <w:t>通常，您可以像使用常规数据集一样使用视图。然而，视图不能被指定为有效的变换\_输出\_；相反，它们可以被指定为有效的变换\_输入\_。</w:t>
      </w:r>
    </w:p>
    <w:p>
      <w:pPr>
        <w:spacing w:after="40"/>
        <w:jc w:val="center"/>
      </w:pPr>
      <w:r>
        <w:rPr>
          <w:i/>
          <w:color w:val="646464"/>
          <w:sz w:val="18"/>
        </w:rPr>
        <w:t>图：视图如何搭建的示意图。</w:t>
      </w:r>
    </w:p>
    <w:p>
      <w:pPr>
        <w:spacing w:before="120" w:after="240"/>
        <w:jc w:val="center"/>
      </w:pPr>
      <w:r>
        <w:drawing>
          <wp:inline xmlns:a="http://schemas.openxmlformats.org/drawingml/2006/main" xmlns:pic="http://schemas.openxmlformats.org/drawingml/2006/picture">
            <wp:extent cx="5029200" cy="3481753"/>
            <wp:docPr id="55" name="Picture 55"/>
            <wp:cNvGraphicFramePr>
              <a:graphicFrameLocks noChangeAspect="1"/>
            </wp:cNvGraphicFramePr>
            <a:graphic>
              <a:graphicData uri="http://schemas.openxmlformats.org/drawingml/2006/picture">
                <pic:pic>
                  <pic:nvPicPr>
                    <pic:cNvPr id="0" name="views-overview.png"/>
                    <pic:cNvPicPr/>
                  </pic:nvPicPr>
                  <pic:blipFill>
                    <a:blip r:embed="rId62"/>
                    <a:stretch>
                      <a:fillRect/>
                    </a:stretch>
                  </pic:blipFill>
                  <pic:spPr>
                    <a:xfrm>
                      <a:off x="0" y="0"/>
                      <a:ext cx="5029200" cy="3481753"/>
                    </a:xfrm>
                    <a:prstGeom prst="rect"/>
                  </pic:spPr>
                </pic:pic>
              </a:graphicData>
            </a:graphic>
          </wp:inline>
        </w:drawing>
      </w:r>
    </w:p>
    <w:p>
      <w:pPr>
        <w:spacing w:line="360" w:lineRule="auto" w:after="120"/>
      </w:pPr>
      <w:r>
        <w:rPr>
          <w:rFonts w:ascii="微软雅黑" w:hAnsi="微软雅黑"/>
          <w:sz w:val="21"/>
        </w:rPr>
        <w:t>视图的一些主要应用案例包括：</w:t>
      </w:r>
    </w:p>
    <w:p>
      <w:pPr>
        <w:pStyle w:val="ListBullet"/>
        <w:spacing w:line="360" w:lineRule="auto" w:after="120"/>
      </w:pPr>
      <w:r>
        <w:rPr>
          <w:rFonts w:ascii="微软雅黑" w:hAnsi="微软雅黑"/>
          <w:b/>
          <w:sz w:val="21"/>
        </w:rPr>
        <w:t>自动更新：</w:t>
      </w:r>
      <w:r>
        <w:rPr>
          <w:rFonts w:ascii="微软雅黑" w:hAnsi="微软雅黑"/>
          <w:sz w:val="21"/>
        </w:rPr>
        <w:t xml:space="preserve"> 创建一个无需执行变换即可始终保持最新的并集数据集。</w:t>
      </w:r>
    </w:p>
    <w:p>
      <w:pPr>
        <w:pStyle w:val="ListBullet"/>
        <w:spacing w:line="360" w:lineRule="auto" w:after="120"/>
      </w:pPr>
      <w:r>
        <w:rPr>
          <w:rFonts w:ascii="微软雅黑" w:hAnsi="微软雅黑"/>
          <w:b/>
          <w:sz w:val="21"/>
        </w:rPr>
        <w:t>文件夹组织：</w:t>
      </w:r>
      <w:r>
        <w:rPr>
          <w:rFonts w:ascii="微软雅黑" w:hAnsi="微软雅黑"/>
          <w:sz w:val="21"/>
        </w:rPr>
        <w:t xml:space="preserve"> 在不同位置复制数据集，而不产生额外的计算和存储成本。</w:t>
      </w:r>
    </w:p>
    <w:p>
      <w:pPr>
        <w:pStyle w:val="ListBullet"/>
        <w:spacing w:line="360" w:lineRule="auto" w:after="120"/>
      </w:pPr>
      <w:r>
        <w:rPr>
          <w:rFonts w:ascii="微软雅黑" w:hAnsi="微软雅黑"/>
          <w:b/>
          <w:sz w:val="21"/>
        </w:rPr>
        <w:t>数据唯一性：</w:t>
      </w:r>
      <w:r>
        <w:rPr>
          <w:rFonts w:ascii="微软雅黑" w:hAnsi="微软雅黑"/>
          <w:sz w:val="21"/>
        </w:rPr>
        <w:t xml:space="preserve"> 自动保证数据具有主键去重功能，无需变换。</w:t>
      </w:r>
    </w:p>
    <w:p>
      <w:pPr>
        <w:pStyle w:val="Heading2"/>
      </w:pPr>
      <w:r>
        <w:rPr>
          <w:rFonts w:ascii="微软雅黑" w:hAnsi="微软雅黑"/>
        </w:rPr>
        <w:t>创建视图</w:t>
      </w:r>
    </w:p>
    <w:p>
      <w:pPr>
        <w:spacing w:line="360" w:lineRule="auto" w:after="120"/>
      </w:pPr>
      <w:r>
        <w:rPr>
          <w:rFonts w:ascii="微软雅黑" w:hAnsi="微软雅黑"/>
          <w:sz w:val="21"/>
        </w:rPr>
        <w:t>要创建新的视图，请从左侧工作区导航面板中打开</w:t>
      </w:r>
      <w:r>
        <w:rPr>
          <w:rFonts w:ascii="微软雅黑" w:hAnsi="微软雅黑"/>
          <w:b/>
          <w:sz w:val="21"/>
        </w:rPr>
        <w:t>文件</w:t>
      </w:r>
      <w:r>
        <w:rPr>
          <w:rFonts w:ascii="微软雅黑" w:hAnsi="微软雅黑"/>
          <w:sz w:val="21"/>
        </w:rPr>
        <w:t>，然后找到您想要的项目或文件夹。在那里，选择右上角的</w:t>
      </w:r>
      <w:r>
        <w:rPr>
          <w:rFonts w:ascii="微软雅黑" w:hAnsi="微软雅黑"/>
          <w:b/>
          <w:sz w:val="21"/>
        </w:rPr>
        <w:t>新建 &gt; 视图</w:t>
      </w:r>
      <w:r>
        <w:rPr>
          <w:rFonts w:ascii="微软雅黑" w:hAnsi="微软雅黑"/>
          <w:sz w:val="21"/>
        </w:rPr>
        <w:t>，以在当前项目或文件夹中创建新的视图：</w:t>
      </w:r>
    </w:p>
    <w:p>
      <w:pPr>
        <w:spacing w:after="40"/>
        <w:jc w:val="center"/>
      </w:pPr>
      <w:r>
        <w:rPr>
          <w:i/>
          <w:color w:val="646464"/>
          <w:sz w:val="18"/>
        </w:rPr>
        <w:t>图：在项目或文件夹中创建新视图。</w:t>
      </w:r>
    </w:p>
    <w:p>
      <w:pPr>
        <w:spacing w:before="120" w:after="240"/>
        <w:jc w:val="center"/>
      </w:pPr>
      <w:r>
        <w:drawing>
          <wp:inline xmlns:a="http://schemas.openxmlformats.org/drawingml/2006/main" xmlns:pic="http://schemas.openxmlformats.org/drawingml/2006/picture">
            <wp:extent cx="5029200" cy="1787856"/>
            <wp:docPr id="56" name="Picture 56"/>
            <wp:cNvGraphicFramePr>
              <a:graphicFrameLocks noChangeAspect="1"/>
            </wp:cNvGraphicFramePr>
            <a:graphic>
              <a:graphicData uri="http://schemas.openxmlformats.org/drawingml/2006/picture">
                <pic:pic>
                  <pic:nvPicPr>
                    <pic:cNvPr id="0" name="views-create-new.png"/>
                    <pic:cNvPicPr/>
                  </pic:nvPicPr>
                  <pic:blipFill>
                    <a:blip r:embed="rId63"/>
                    <a:stretch>
                      <a:fillRect/>
                    </a:stretch>
                  </pic:blipFill>
                  <pic:spPr>
                    <a:xfrm>
                      <a:off x="0" y="0"/>
                      <a:ext cx="5029200" cy="1787856"/>
                    </a:xfrm>
                    <a:prstGeom prst="rect"/>
                  </pic:spPr>
                </pic:pic>
              </a:graphicData>
            </a:graphic>
          </wp:inline>
        </w:drawing>
      </w:r>
    </w:p>
    <w:p>
      <w:pPr>
        <w:spacing w:line="360" w:lineRule="auto" w:after="120"/>
      </w:pPr>
      <w:r>
        <w:rPr>
          <w:rFonts w:ascii="微软雅黑" w:hAnsi="微软雅黑"/>
          <w:sz w:val="21"/>
        </w:rPr>
        <w:t>为视图选择一个名称和位置，然后继续进行配置。当视图创建完成后，系统将在后台自动创建一个搭建计划，任何时候支撑数据集更新时都会重新搭建视图。如果您想在创建或修改视图后立即读取视图，则必须手动搭建视图。</w:t>
      </w:r>
    </w:p>
    <w:p>
      <w:pPr>
        <w:pStyle w:val="Heading3"/>
      </w:pPr>
      <w:r>
        <w:rPr>
          <w:rFonts w:ascii="微软雅黑" w:hAnsi="微软雅黑"/>
        </w:rPr>
        <w:t>选择支撑数据集</w:t>
      </w:r>
    </w:p>
    <w:p>
      <w:pPr>
        <w:spacing w:line="360" w:lineRule="auto" w:after="120"/>
      </w:pPr>
      <w:r>
        <w:rPr>
          <w:rFonts w:ascii="微软雅黑" w:hAnsi="微软雅黑"/>
          <w:sz w:val="21"/>
        </w:rPr>
        <w:t>因为视图由其支撑数据集的并集组成，给定视图的每个支撑数据集都必须拥有相同的列名称和类型（尽管列的顺序可以不同）。</w:t>
      </w:r>
    </w:p>
    <w:p>
      <w:pPr>
        <w:spacing w:line="360" w:lineRule="auto" w:after="120"/>
      </w:pPr>
      <w:r>
        <w:rPr>
          <w:rFonts w:ascii="微软雅黑" w:hAnsi="微软雅黑"/>
          <w:sz w:val="21"/>
        </w:rPr>
        <w:t>构建视图需要一个或多个支撑数据集。初始配置后，可以通过导航到</w:t>
      </w:r>
      <w:r>
        <w:rPr>
          <w:rFonts w:ascii="微软雅黑" w:hAnsi="微软雅黑"/>
          <w:b/>
          <w:sz w:val="21"/>
        </w:rPr>
        <w:t>详细信息 &gt; 数据集视图设置</w:t>
      </w:r>
      <w:r>
        <w:rPr>
          <w:rFonts w:ascii="微软雅黑" w:hAnsi="微软雅黑"/>
          <w:sz w:val="21"/>
        </w:rPr>
        <w:t>来修改视图的支撑数据集。</w:t>
      </w:r>
    </w:p>
    <w:p>
      <w:pPr>
        <w:spacing w:after="40"/>
        <w:jc w:val="center"/>
      </w:pPr>
      <w:r>
        <w:rPr>
          <w:i/>
          <w:color w:val="646464"/>
          <w:sz w:val="18"/>
        </w:rPr>
        <w:t>图：为视图选择支撑数据集。</w:t>
      </w:r>
    </w:p>
    <w:p>
      <w:pPr>
        <w:spacing w:before="120" w:after="240"/>
        <w:jc w:val="center"/>
      </w:pPr>
      <w:r>
        <w:drawing>
          <wp:inline xmlns:a="http://schemas.openxmlformats.org/drawingml/2006/main" xmlns:pic="http://schemas.openxmlformats.org/drawingml/2006/picture">
            <wp:extent cx="5029200" cy="3014490"/>
            <wp:docPr id="57" name="Picture 57"/>
            <wp:cNvGraphicFramePr>
              <a:graphicFrameLocks noChangeAspect="1"/>
            </wp:cNvGraphicFramePr>
            <a:graphic>
              <a:graphicData uri="http://schemas.openxmlformats.org/drawingml/2006/picture">
                <pic:pic>
                  <pic:nvPicPr>
                    <pic:cNvPr id="0" name="views-select-backing-datasets.png"/>
                    <pic:cNvPicPr/>
                  </pic:nvPicPr>
                  <pic:blipFill>
                    <a:blip r:embed="rId64"/>
                    <a:stretch>
                      <a:fillRect/>
                    </a:stretch>
                  </pic:blipFill>
                  <pic:spPr>
                    <a:xfrm>
                      <a:off x="0" y="0"/>
                      <a:ext cx="5029200" cy="3014490"/>
                    </a:xfrm>
                    <a:prstGeom prst="rect"/>
                  </pic:spPr>
                </pic:pic>
              </a:graphicData>
            </a:graphic>
          </wp:inline>
        </w:drawing>
      </w:r>
    </w:p>
    <w:p>
      <w:pPr>
        <w:pStyle w:val="Heading3"/>
      </w:pPr>
      <w:r>
        <w:rPr>
          <w:rFonts w:ascii="微软雅黑" w:hAnsi="微软雅黑"/>
        </w:rPr>
        <w:t>添加主键</w:t>
      </w:r>
    </w:p>
    <w:p>
      <w:pPr>
        <w:spacing w:line="360" w:lineRule="auto" w:after="120"/>
      </w:pPr>
      <w:r>
        <w:rPr>
          <w:rFonts w:ascii="微软雅黑" w:hAnsi="微软雅黑"/>
          <w:sz w:val="21"/>
        </w:rPr>
        <w:t>数据去重是视图的一个关键功能，您可以通过添加主键来启用此功能。一旦配置了主键，视图就保证具有主键唯一性；视图中出现的每个主键仅在一行中出现。添加主键可确保在读取视图时，仅返回每个主键的最新数据。当视图的支撑数据集可能包含不需要的重复行时，这种自动去重特别有用。</w:t>
      </w:r>
    </w:p>
    <w:p>
      <w:pPr>
        <w:spacing w:line="360" w:lineRule="auto" w:after="120"/>
      </w:pPr>
      <w:r>
        <w:rPr>
          <w:rFonts w:ascii="微软雅黑" w:hAnsi="微软雅黑"/>
          <w:sz w:val="21"/>
        </w:rPr>
        <w:t>一旦设置了主键，就无法在不创建新视图的情况下进行修改。</w:t>
      </w:r>
    </w:p>
    <w:p>
      <w:pPr>
        <w:spacing w:line="360" w:lineRule="auto" w:after="120"/>
      </w:pPr>
      <w:r>
        <w:rPr>
          <w:rFonts w:ascii="微软雅黑" w:hAnsi="微软雅黑"/>
          <w:sz w:val="21"/>
        </w:rPr>
        <w:t>要添加主键，请选择一个或多个列，组合后将形成主键。这些列中不得包含空值。</w:t>
      </w:r>
    </w:p>
    <w:p>
      <w:pPr>
        <w:spacing w:after="40"/>
        <w:jc w:val="center"/>
      </w:pPr>
      <w:r>
        <w:rPr>
          <w:i/>
          <w:color w:val="646464"/>
          <w:sz w:val="18"/>
        </w:rPr>
        <w:t>图：为视图添加主键。</w:t>
      </w:r>
    </w:p>
    <w:p>
      <w:pPr>
        <w:spacing w:before="120" w:after="240"/>
        <w:jc w:val="center"/>
      </w:pPr>
      <w:r>
        <w:drawing>
          <wp:inline xmlns:a="http://schemas.openxmlformats.org/drawingml/2006/main" xmlns:pic="http://schemas.openxmlformats.org/drawingml/2006/picture">
            <wp:extent cx="4843257" cy="4114800"/>
            <wp:docPr id="58" name="Picture 58"/>
            <wp:cNvGraphicFramePr>
              <a:graphicFrameLocks noChangeAspect="1"/>
            </wp:cNvGraphicFramePr>
            <a:graphic>
              <a:graphicData uri="http://schemas.openxmlformats.org/drawingml/2006/picture">
                <pic:pic>
                  <pic:nvPicPr>
                    <pic:cNvPr id="0" name="views-primary-key.png"/>
                    <pic:cNvPicPr/>
                  </pic:nvPicPr>
                  <pic:blipFill>
                    <a:blip r:embed="rId65"/>
                    <a:stretch>
                      <a:fillRect/>
                    </a:stretch>
                  </pic:blipFill>
                  <pic:spPr>
                    <a:xfrm>
                      <a:off x="0" y="0"/>
                      <a:ext cx="4843257" cy="4114800"/>
                    </a:xfrm>
                    <a:prstGeom prst="rect"/>
                  </pic:spPr>
                </pic:pic>
              </a:graphicData>
            </a:graphic>
          </wp:inline>
        </w:drawing>
      </w:r>
    </w:p>
    <w:p>
      <w:pPr>
        <w:spacing w:line="360" w:lineRule="auto" w:after="120"/>
      </w:pPr>
      <w:r>
        <w:rPr>
          <w:rFonts w:ascii="微软雅黑" w:hAnsi="微软雅黑"/>
          <w:sz w:val="21"/>
        </w:rPr>
        <w:t>如果您在初始配置时没有添加主键，可以稍后通过导航到</w:t>
      </w:r>
      <w:r>
        <w:rPr>
          <w:rFonts w:ascii="微软雅黑" w:hAnsi="微软雅黑"/>
          <w:b/>
          <w:sz w:val="21"/>
        </w:rPr>
        <w:t>详细信息 &gt; 数据集视图设置</w:t>
      </w:r>
      <w:r>
        <w:rPr>
          <w:rFonts w:ascii="微软雅黑" w:hAnsi="微软雅黑"/>
          <w:sz w:val="21"/>
        </w:rPr>
        <w:t>来添加。</w:t>
      </w:r>
    </w:p>
    <w:p>
      <w:pPr>
        <w:pStyle w:val="Heading3"/>
      </w:pPr>
      <w:r>
        <w:rPr>
          <w:rFonts w:ascii="微软雅黑" w:hAnsi="微软雅黑"/>
        </w:rPr>
        <w:t>解决重复键</w:t>
      </w:r>
    </w:p>
    <w:p>
      <w:pPr>
        <w:spacing w:line="360" w:lineRule="auto" w:after="120"/>
      </w:pPr>
      <w:r>
        <w:rPr>
          <w:rFonts w:ascii="微软雅黑" w:hAnsi="微软雅黑"/>
          <w:sz w:val="21"/>
        </w:rPr>
        <w:t>要添加主键，您还必须指定一个列（或列的组合）来解决重复的主键。通过保留这些列的值最高的行并丢弃其他行来执行具有相同主键的行的去重。这确保视图中出现的每个主键都是唯一的。</w:t>
      </w:r>
    </w:p>
    <w:p>
      <w:pPr>
        <w:pStyle w:val="Heading3"/>
      </w:pPr>
      <w:r>
        <w:rPr>
          <w:rFonts w:ascii="微软雅黑" w:hAnsi="微软雅黑"/>
        </w:rPr>
        <w:t>选择删除列</w:t>
      </w:r>
    </w:p>
    <w:p>
      <w:pPr>
        <w:spacing w:line="360" w:lineRule="auto" w:after="120"/>
      </w:pPr>
      <w:r>
        <w:rPr>
          <w:rFonts w:ascii="微软雅黑" w:hAnsi="微软雅黑"/>
          <w:sz w:val="21"/>
        </w:rPr>
        <w:t xml:space="preserve">您还可以非必填指定删除列，该列必须包含布尔值。去重后，如果给定主键的最终剩余行在删除列中为 </w:t>
      </w:r>
      <w:r>
        <w:rPr>
          <w:rFonts w:ascii="Consolas" w:hAnsi="Consolas"/>
          <w:color w:val="B43C3C"/>
          <w:sz w:val="18"/>
        </w:rPr>
        <w:t>true</w:t>
      </w:r>
      <w:r>
        <w:rPr>
          <w:rFonts w:ascii="微软雅黑" w:hAnsi="微软雅黑"/>
          <w:sz w:val="21"/>
        </w:rPr>
        <w:t>，则该行将从视图中排除。</w:t>
      </w:r>
    </w:p>
    <w:p>
      <w:pPr>
        <w:pStyle w:val="Heading3"/>
      </w:pPr>
      <w:r>
        <w:rPr>
          <w:rFonts w:ascii="微软雅黑" w:hAnsi="微软雅黑"/>
        </w:rPr>
        <w:t>实践中的去重和删除</w:t>
      </w:r>
    </w:p>
    <w:p>
      <w:pPr>
        <w:spacing w:line="360" w:lineRule="auto" w:after="120"/>
      </w:pPr>
      <w:r>
        <w:rPr>
          <w:rFonts w:ascii="微软雅黑" w:hAnsi="微软雅黑"/>
          <w:sz w:val="21"/>
        </w:rPr>
        <w:t>重复主键在使用删除列排除行*之前*解决。因此，对于给定主键而言，只有“最新”行中删除列的值才重要。</w:t>
      </w:r>
    </w:p>
    <w:p>
      <w:pPr>
        <w:spacing w:after="40"/>
        <w:jc w:val="center"/>
      </w:pPr>
      <w:r>
        <w:rPr>
          <w:i/>
          <w:color w:val="646464"/>
          <w:sz w:val="18"/>
        </w:rPr>
        <w:t>图：单个支撑数据集的去重和删除示例。</w:t>
      </w:r>
    </w:p>
    <w:p>
      <w:pPr>
        <w:spacing w:before="120" w:after="240"/>
        <w:jc w:val="center"/>
      </w:pPr>
      <w:r>
        <w:drawing>
          <wp:inline xmlns:a="http://schemas.openxmlformats.org/drawingml/2006/main" xmlns:pic="http://schemas.openxmlformats.org/drawingml/2006/picture">
            <wp:extent cx="5029200" cy="1099598"/>
            <wp:docPr id="59" name="Picture 59"/>
            <wp:cNvGraphicFramePr>
              <a:graphicFrameLocks noChangeAspect="1"/>
            </wp:cNvGraphicFramePr>
            <a:graphic>
              <a:graphicData uri="http://schemas.openxmlformats.org/drawingml/2006/picture">
                <pic:pic>
                  <pic:nvPicPr>
                    <pic:cNvPr id="0" name="views-pkey-example-single.png"/>
                    <pic:cNvPicPr/>
                  </pic:nvPicPr>
                  <pic:blipFill>
                    <a:blip r:embed="rId66"/>
                    <a:stretch>
                      <a:fillRect/>
                    </a:stretch>
                  </pic:blipFill>
                  <pic:spPr>
                    <a:xfrm>
                      <a:off x="0" y="0"/>
                      <a:ext cx="5029200" cy="1099598"/>
                    </a:xfrm>
                    <a:prstGeom prst="rect"/>
                  </pic:spPr>
                </pic:pic>
              </a:graphicData>
            </a:graphic>
          </wp:inline>
        </w:drawing>
      </w:r>
    </w:p>
    <w:p>
      <w:pPr>
        <w:spacing w:line="360" w:lineRule="auto" w:after="120"/>
      </w:pPr>
      <w:r>
        <w:rPr>
          <w:rFonts w:ascii="微软雅黑" w:hAnsi="微软雅黑"/>
          <w:sz w:val="21"/>
        </w:rPr>
        <w:t>去重和删除在所有支撑数据集中执行：</w:t>
      </w:r>
    </w:p>
    <w:p>
      <w:pPr>
        <w:spacing w:after="40"/>
        <w:jc w:val="center"/>
      </w:pPr>
      <w:r>
        <w:rPr>
          <w:i/>
          <w:color w:val="646464"/>
          <w:sz w:val="18"/>
        </w:rPr>
        <w:t>图：两个支撑数据集的去重和删除示例。</w:t>
      </w:r>
    </w:p>
    <w:p>
      <w:pPr>
        <w:spacing w:before="120" w:after="240"/>
        <w:jc w:val="center"/>
      </w:pPr>
      <w:r>
        <w:drawing>
          <wp:inline xmlns:a="http://schemas.openxmlformats.org/drawingml/2006/main" xmlns:pic="http://schemas.openxmlformats.org/drawingml/2006/picture">
            <wp:extent cx="5029200" cy="2121525"/>
            <wp:docPr id="60" name="Picture 60"/>
            <wp:cNvGraphicFramePr>
              <a:graphicFrameLocks noChangeAspect="1"/>
            </wp:cNvGraphicFramePr>
            <a:graphic>
              <a:graphicData uri="http://schemas.openxmlformats.org/drawingml/2006/picture">
                <pic:pic>
                  <pic:nvPicPr>
                    <pic:cNvPr id="0" name="views-pkey-example-union.png"/>
                    <pic:cNvPicPr/>
                  </pic:nvPicPr>
                  <pic:blipFill>
                    <a:blip r:embed="rId67"/>
                    <a:stretch>
                      <a:fillRect/>
                    </a:stretch>
                  </pic:blipFill>
                  <pic:spPr>
                    <a:xfrm>
                      <a:off x="0" y="0"/>
                      <a:ext cx="5029200" cy="2121525"/>
                    </a:xfrm>
                    <a:prstGeom prst="rect"/>
                  </pic:spPr>
                </pic:pic>
              </a:graphicData>
            </a:graphic>
          </wp:inline>
        </w:drawing>
      </w:r>
    </w:p>
    <w:p>
      <w:pPr>
        <w:spacing w:line="360" w:lineRule="auto" w:after="120"/>
      </w:pPr>
      <w:r>
        <w:rPr>
          <w:rFonts w:ascii="微软雅黑" w:hAnsi="微软雅黑"/>
          <w:sz w:val="21"/>
        </w:rPr>
        <w:t>去重和删除通过以下组合实现：</w:t>
      </w:r>
    </w:p>
    <w:p>
      <w:pPr>
        <w:pStyle w:val="ListBullet"/>
        <w:spacing w:line="360" w:lineRule="auto" w:after="120"/>
      </w:pPr>
      <w:r>
        <w:rPr>
          <w:rFonts w:ascii="微软雅黑" w:hAnsi="微软雅黑"/>
          <w:sz w:val="21"/>
        </w:rPr>
        <w:t>在视图上自动创建的适当配置的</w:t>
      </w:r>
      <w:r>
        <w:rPr>
          <w:rFonts w:ascii="微软雅黑" w:hAnsi="微软雅黑"/>
          <w:color w:val="0066CC"/>
          <w:sz w:val="21"/>
          <w:u w:val="single"/>
        </w:rPr>
        <w:t>投影</w:t>
      </w:r>
      <w:r>
        <w:rPr>
          <w:rFonts w:ascii="微软雅黑" w:hAnsi="微软雅黑"/>
          <w:sz w:val="21"/>
        </w:rPr>
        <w:t>。</w:t>
      </w:r>
    </w:p>
    <w:p>
      <w:pPr>
        <w:pStyle w:val="ListBullet"/>
        <w:spacing w:line="360" w:lineRule="auto" w:after="120"/>
      </w:pPr>
      <w:r>
        <w:rPr>
          <w:rFonts w:ascii="微软雅黑" w:hAnsi="微软雅黑"/>
          <w:sz w:val="21"/>
        </w:rPr>
        <w:t>在每次读取时评估的基于窗口的筛选逻辑。</w:t>
      </w:r>
    </w:p>
    <w:p>
      <w:pPr>
        <w:spacing w:line="360" w:lineRule="auto" w:after="120"/>
      </w:pPr>
      <w:r>
        <w:rPr>
          <w:rFonts w:ascii="微软雅黑" w:hAnsi="微软雅黑"/>
          <w:sz w:val="21"/>
        </w:rPr>
        <w:t>尽管每次读取时评估筛选逻辑，但如果投影是最新的，并且视图的支撑数据集自上次投影搭建以来仅进行了</w:t>
      </w:r>
      <w:r>
        <w:rPr>
          <w:rFonts w:ascii="Consolas" w:hAnsi="Consolas"/>
          <w:color w:val="B43C3C"/>
          <w:sz w:val="18"/>
        </w:rPr>
        <w:t>添加</w:t>
      </w:r>
      <w:r>
        <w:rPr>
          <w:rFonts w:ascii="微软雅黑" w:hAnsi="微软雅黑"/>
          <w:sz w:val="21"/>
        </w:rPr>
        <w:t>或</w:t>
      </w:r>
      <w:r>
        <w:rPr>
          <w:rFonts w:ascii="Consolas" w:hAnsi="Consolas"/>
          <w:color w:val="B43C3C"/>
          <w:sz w:val="18"/>
        </w:rPr>
        <w:t>更新</w:t>
      </w:r>
      <w:r>
        <w:rPr>
          <w:rFonts w:ascii="微软雅黑" w:hAnsi="微软雅黑"/>
          <w:sz w:val="21"/>
        </w:rPr>
        <w:t>事务，则评估此逻辑对运行时间和计算成本的影响可忽略不计。</w:t>
      </w:r>
    </w:p>
    <w:p>
      <w:pPr>
        <w:spacing w:line="360" w:lineRule="auto" w:after="120"/>
      </w:pPr>
      <w:r>
        <w:rPr>
          <w:rFonts w:ascii="微软雅黑" w:hAnsi="微软雅黑"/>
          <w:sz w:val="21"/>
        </w:rPr>
        <w:t>考虑到这种架构，我们建议仅在以下情况下创建具有主键配置的视图。</w:t>
      </w:r>
    </w:p>
    <w:p>
      <w:pPr>
        <w:pStyle w:val="ListBullet"/>
        <w:spacing w:line="360" w:lineRule="auto" w:after="120"/>
      </w:pPr>
      <w:r>
        <w:rPr>
          <w:rFonts w:ascii="微软雅黑" w:hAnsi="微软雅黑"/>
          <w:sz w:val="21"/>
        </w:rPr>
        <w:t>所有支撑数据集都通过</w:t>
      </w:r>
      <w:r>
        <w:rPr>
          <w:rFonts w:ascii="Consolas" w:hAnsi="Consolas"/>
          <w:color w:val="B43C3C"/>
          <w:sz w:val="18"/>
        </w:rPr>
        <w:t>添加</w:t>
      </w:r>
      <w:r>
        <w:rPr>
          <w:rFonts w:ascii="微软雅黑" w:hAnsi="微软雅黑"/>
          <w:sz w:val="21"/>
        </w:rPr>
        <w:t>或严格增量的</w:t>
      </w:r>
      <w:r>
        <w:rPr>
          <w:rFonts w:ascii="Consolas" w:hAnsi="Consolas"/>
          <w:color w:val="B43C3C"/>
          <w:sz w:val="18"/>
        </w:rPr>
        <w:t>更新</w:t>
      </w:r>
      <w:r>
        <w:rPr>
          <w:rFonts w:ascii="微软雅黑" w:hAnsi="微软雅黑"/>
          <w:sz w:val="21"/>
        </w:rPr>
        <w:t>事务进行更新。</w:t>
      </w:r>
    </w:p>
    <w:p>
      <w:pPr>
        <w:pStyle w:val="ListBullet"/>
        <w:spacing w:line="360" w:lineRule="auto" w:after="120"/>
      </w:pPr>
      <w:r>
        <w:rPr>
          <w:rFonts w:ascii="微软雅黑" w:hAnsi="微软雅黑"/>
          <w:sz w:val="21"/>
        </w:rPr>
        <w:t>一些支撑数据集通过</w:t>
      </w:r>
      <w:r>
        <w:rPr>
          <w:rFonts w:ascii="Consolas" w:hAnsi="Consolas"/>
          <w:color w:val="B43C3C"/>
          <w:sz w:val="18"/>
        </w:rPr>
        <w:t>添加</w:t>
      </w:r>
      <w:r>
        <w:rPr>
          <w:rFonts w:ascii="微软雅黑" w:hAnsi="微软雅黑"/>
          <w:sz w:val="21"/>
        </w:rPr>
        <w:t>或严格增量的</w:t>
      </w:r>
      <w:r>
        <w:rPr>
          <w:rFonts w:ascii="Consolas" w:hAnsi="Consolas"/>
          <w:color w:val="B43C3C"/>
          <w:sz w:val="18"/>
        </w:rPr>
        <w:t>更新</w:t>
      </w:r>
      <w:r>
        <w:rPr>
          <w:rFonts w:ascii="微软雅黑" w:hAnsi="微软雅黑"/>
          <w:sz w:val="21"/>
        </w:rPr>
        <w:t>事务更新，一些则通过</w:t>
      </w:r>
      <w:r>
        <w:rPr>
          <w:rFonts w:ascii="Consolas" w:hAnsi="Consolas"/>
          <w:color w:val="B43C3C"/>
          <w:sz w:val="18"/>
        </w:rPr>
        <w:t>快照</w:t>
      </w:r>
      <w:r>
        <w:rPr>
          <w:rFonts w:ascii="微软雅黑" w:hAnsi="微软雅黑"/>
          <w:sz w:val="21"/>
        </w:rPr>
        <w:t>事务更新，但以</w:t>
      </w:r>
      <w:r>
        <w:rPr>
          <w:rFonts w:ascii="Consolas" w:hAnsi="Consolas"/>
          <w:color w:val="B43C3C"/>
          <w:sz w:val="18"/>
        </w:rPr>
        <w:t>快照</w:t>
      </w:r>
      <w:r>
        <w:rPr>
          <w:rFonts w:ascii="微软雅黑" w:hAnsi="微软雅黑"/>
          <w:sz w:val="21"/>
        </w:rPr>
        <w:t>事务更新的数据集搭建不频繁。</w:t>
      </w:r>
    </w:p>
    <w:p>
      <w:pPr>
        <w:spacing w:line="360" w:lineRule="auto" w:after="120"/>
      </w:pPr>
      <w:r>
        <w:rPr>
          <w:rFonts w:ascii="微软雅黑" w:hAnsi="微软雅黑"/>
          <w:sz w:val="21"/>
        </w:rPr>
        <w:t>如果对支撑数据集的更新需要完全重建投影，则会产生相当大的计算成本，因为读者（</w:t>
      </w:r>
      <w:r>
        <w:rPr>
          <w:rFonts w:ascii="微软雅黑" w:hAnsi="微软雅黑"/>
          <w:color w:val="0066CC"/>
          <w:sz w:val="21"/>
          <w:u w:val="single"/>
        </w:rPr>
        <w:t>Contour</w:t>
      </w:r>
      <w:r>
        <w:rPr>
          <w:rFonts w:ascii="微软雅黑" w:hAnsi="微软雅黑"/>
          <w:sz w:val="21"/>
        </w:rPr>
        <w:t>、变换任务等）必须在没有投影优势的情况下应用筛选逻辑，直到投影重建完成。</w:t>
      </w:r>
    </w:p>
    <w:p>
      <w:pPr>
        <w:pStyle w:val="Heading3"/>
      </w:pPr>
      <w:r>
        <w:rPr>
          <w:rFonts w:ascii="微软雅黑" w:hAnsi="微软雅黑"/>
        </w:rPr>
        <w:t>使用视图</w:t>
      </w:r>
    </w:p>
    <w:p>
      <w:pPr>
        <w:spacing w:after="40"/>
        <w:jc w:val="center"/>
      </w:pPr>
      <w:r>
        <w:rPr>
          <w:i/>
          <w:color w:val="646464"/>
          <w:sz w:val="18"/>
        </w:rPr>
        <w:t>图：视图的数据沿袭。</w:t>
      </w:r>
    </w:p>
    <w:p>
      <w:pPr>
        <w:spacing w:before="120" w:after="240"/>
        <w:jc w:val="center"/>
      </w:pPr>
      <w:r>
        <w:drawing>
          <wp:inline xmlns:a="http://schemas.openxmlformats.org/drawingml/2006/main" xmlns:pic="http://schemas.openxmlformats.org/drawingml/2006/picture">
            <wp:extent cx="5029200" cy="1486591"/>
            <wp:docPr id="61" name="Picture 61"/>
            <wp:cNvGraphicFramePr>
              <a:graphicFrameLocks noChangeAspect="1"/>
            </wp:cNvGraphicFramePr>
            <a:graphic>
              <a:graphicData uri="http://schemas.openxmlformats.org/drawingml/2006/picture">
                <pic:pic>
                  <pic:nvPicPr>
                    <pic:cNvPr id="0" name="views-lineage.png"/>
                    <pic:cNvPicPr/>
                  </pic:nvPicPr>
                  <pic:blipFill>
                    <a:blip r:embed="rId68"/>
                    <a:stretch>
                      <a:fillRect/>
                    </a:stretch>
                  </pic:blipFill>
                  <pic:spPr>
                    <a:xfrm>
                      <a:off x="0" y="0"/>
                      <a:ext cx="5029200" cy="1486591"/>
                    </a:xfrm>
                    <a:prstGeom prst="rect"/>
                  </pic:spPr>
                </pic:pic>
              </a:graphicData>
            </a:graphic>
          </wp:inline>
        </w:drawing>
      </w:r>
    </w:p>
    <w:p>
      <w:pPr>
        <w:spacing w:line="360" w:lineRule="auto" w:after="120"/>
      </w:pPr>
      <w:r>
        <w:rPr>
          <w:rFonts w:ascii="微软雅黑" w:hAnsi="微软雅黑"/>
          <w:sz w:val="21"/>
        </w:rPr>
        <w:t>视图在 Foundry 中与常规 Foundry 数据集一样可见，并且可以在常规数据集可以使用的任何地方使用。唯一的例外是视图不是有效的变换输出（尽管它们是有效的变换输入），并且不支持</w:t>
      </w:r>
      <w:r>
        <w:rPr>
          <w:rFonts w:ascii="微软雅黑" w:hAnsi="微软雅黑"/>
          <w:color w:val="0066CC"/>
          <w:sz w:val="21"/>
          <w:u w:val="single"/>
        </w:rPr>
        <w:t>轻量级变换</w:t>
      </w:r>
      <w:r>
        <w:rPr>
          <w:rFonts w:ascii="微软雅黑" w:hAnsi="微软雅黑"/>
          <w:sz w:val="21"/>
        </w:rPr>
        <w:t>。一个示例应用案例是有效地创建多个数据集的并集，使用主键确保生成的视图具有数据唯一性。</w:t>
      </w:r>
    </w:p>
    <w:p>
      <w:r>
        <w:br w:type="page"/>
      </w:r>
    </w:p>
    <w:p>
      <w:pPr>
        <w:pStyle w:val="Heading1"/>
      </w:pPr>
      <w:r>
        <w:rPr>
          <w:rFonts w:ascii="微软雅黑" w:hAnsi="微软雅黑"/>
        </w:rPr>
        <w:t>虚拟表</w:t>
      </w:r>
    </w:p>
    <w:p>
      <w:pPr>
        <w:spacing w:line="360" w:lineRule="auto" w:after="120"/>
      </w:pPr>
      <w:r>
        <w:rPr>
          <w:rFonts w:ascii="微软雅黑" w:hAnsi="微软雅黑"/>
          <w:sz w:val="21"/>
        </w:rPr>
        <w:t># 虚拟表</w:t>
      </w:r>
    </w:p>
    <w:p>
      <w:r>
        <w:rPr>
          <w:rFonts w:ascii="微软雅黑" w:hAnsi="微软雅黑"/>
          <w:b/>
        </w:rPr>
        <w:t>虚拟表</w:t>
      </w:r>
      <w:r>
        <w:rPr>
          <w:rFonts w:ascii="微软雅黑" w:hAnsi="微软雅黑"/>
        </w:rPr>
        <w:t>：允许您在支持的数据平台中查询表，而无需先将数据存储在Foundry的[数据集](/zh/foundry/data-integration/datasets/)中。</w:t>
      </w:r>
    </w:p>
    <w:p>
      <w:pPr>
        <w:spacing w:line="360" w:lineRule="auto" w:after="120"/>
      </w:pPr>
      <w:r>
        <w:rPr>
          <w:rFonts w:ascii="微软雅黑" w:hAnsi="微软雅黑"/>
          <w:sz w:val="21"/>
        </w:rPr>
        <w:t>虚拟表在Foundry外部的源系统中充当指向表的指针。虚拟表抽象掉了底层的源系统和存储格式，使您能够无缝地搭建结合不同源系统数据的工作流。虚拟表还可以与存储在Foundry中的数据集结合使用，作为一种灵活架构的一部分，数据无需在一个地方集中。</w:t>
      </w:r>
    </w:p>
    <w:p>
      <w:pPr>
        <w:spacing w:after="40"/>
        <w:jc w:val="center"/>
      </w:pPr>
      <w:r>
        <w:rPr>
          <w:i/>
          <w:color w:val="646464"/>
          <w:sz w:val="18"/>
        </w:rPr>
        <w:t>图：虚拟表图示</w:t>
      </w:r>
    </w:p>
    <w:p>
      <w:pPr>
        <w:spacing w:before="120" w:after="240"/>
        <w:jc w:val="center"/>
      </w:pPr>
      <w:r>
        <w:drawing>
          <wp:inline xmlns:a="http://schemas.openxmlformats.org/drawingml/2006/main" xmlns:pic="http://schemas.openxmlformats.org/drawingml/2006/picture">
            <wp:extent cx="5029200" cy="1780422"/>
            <wp:docPr id="62" name="Picture 62"/>
            <wp:cNvGraphicFramePr>
              <a:graphicFrameLocks noChangeAspect="1"/>
            </wp:cNvGraphicFramePr>
            <a:graphic>
              <a:graphicData uri="http://schemas.openxmlformats.org/drawingml/2006/picture">
                <pic:pic>
                  <pic:nvPicPr>
                    <pic:cNvPr id="0" name="tables-diagram.png"/>
                    <pic:cNvPicPr/>
                  </pic:nvPicPr>
                  <pic:blipFill>
                    <a:blip r:embed="rId69"/>
                    <a:stretch>
                      <a:fillRect/>
                    </a:stretch>
                  </pic:blipFill>
                  <pic:spPr>
                    <a:xfrm>
                      <a:off x="0" y="0"/>
                      <a:ext cx="5029200" cy="1780422"/>
                    </a:xfrm>
                    <a:prstGeom prst="rect"/>
                  </pic:spPr>
                </pic:pic>
              </a:graphicData>
            </a:graphic>
          </wp:inline>
        </w:drawing>
      </w:r>
    </w:p>
    <w:p>
      <w:pPr>
        <w:spacing w:line="360" w:lineRule="auto" w:after="120"/>
      </w:pPr>
      <w:r>
        <w:rPr>
          <w:rFonts w:ascii="微软雅黑" w:hAnsi="微软雅黑"/>
          <w:sz w:val="21"/>
        </w:rPr>
        <w:t>虚拟表由以下内容定义：</w:t>
      </w:r>
    </w:p>
    <w:p>
      <w:pPr>
        <w:pStyle w:val="ListBullet"/>
        <w:spacing w:line="360" w:lineRule="auto" w:after="120"/>
      </w:pPr>
      <w:r>
        <w:rPr>
          <w:rFonts w:ascii="微软雅黑" w:hAnsi="微软雅黑"/>
          <w:sz w:val="21"/>
        </w:rPr>
        <w:t>与源存储系统的*连接*（例如，源URL或凭据）。此连接通过在Foundry的数据连接应用程序中</w:t>
      </w:r>
      <w:r>
        <w:rPr>
          <w:rFonts w:ascii="微软雅黑" w:hAnsi="微软雅黑"/>
          <w:color w:val="0066CC"/>
          <w:sz w:val="21"/>
          <w:u w:val="single"/>
        </w:rPr>
        <w:t>设置源</w:t>
      </w:r>
      <w:r>
        <w:rPr>
          <w:rFonts w:ascii="微软雅黑" w:hAnsi="微软雅黑"/>
          <w:sz w:val="21"/>
        </w:rPr>
        <w:t>来建立。</w:t>
      </w:r>
    </w:p>
    <w:p>
      <w:pPr>
        <w:pStyle w:val="ListBullet"/>
        <w:spacing w:line="360" w:lineRule="auto" w:after="120"/>
      </w:pPr>
      <w:r>
        <w:rPr>
          <w:rFonts w:ascii="微软雅黑" w:hAnsi="微软雅黑"/>
          <w:sz w:val="21"/>
        </w:rPr>
        <w:t>标识源系统中表的*定位器*（例如，数据库、模式和表名）。</w:t>
      </w:r>
    </w:p>
    <w:p>
      <w:pPr>
        <w:spacing w:line="360" w:lineRule="auto" w:after="120"/>
      </w:pPr>
      <w:r>
        <w:rPr>
          <w:rFonts w:ascii="微软雅黑" w:hAnsi="微软雅黑"/>
          <w:sz w:val="21"/>
        </w:rPr>
        <w:t>与Foundry中的任何资源一样，虚拟表受Foundry的安全性和权限模型管理，可以在各种Foundry应用程序中打开或使用。</w:t>
      </w:r>
    </w:p>
    <w:p>
      <w:pPr>
        <w:pStyle w:val="Heading2"/>
      </w:pPr>
      <w:r>
        <w:rPr>
          <w:rFonts w:ascii="微软雅黑" w:hAnsi="微软雅黑"/>
        </w:rPr>
        <w:t>支持的来源</w:t>
      </w:r>
    </w:p>
    <w:p>
      <w:pPr>
        <w:spacing w:line="360" w:lineRule="auto" w:after="120"/>
      </w:pPr>
      <w:r>
        <w:rPr>
          <w:rFonts w:ascii="微软雅黑" w:hAnsi="微软雅黑"/>
          <w:sz w:val="21"/>
        </w:rPr>
        <w:t>以下来源支持虚拟表。有关如何配置连接以及支持的功能的详细信息，请参阅</w:t>
      </w:r>
      <w:r>
        <w:rPr>
          <w:rFonts w:ascii="微软雅黑" w:hAnsi="微软雅黑"/>
          <w:color w:val="0066CC"/>
          <w:sz w:val="21"/>
          <w:u w:val="single"/>
        </w:rPr>
        <w:t>来源文档</w:t>
      </w:r>
      <w:r>
        <w:rPr>
          <w:rFonts w:ascii="微软雅黑" w:hAnsi="微软雅黑"/>
          <w:sz w:val="21"/>
        </w:rPr>
        <w:t>。</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来源</w:t>
            </w:r>
          </w:p>
        </w:tc>
        <w:tc>
          <w:tcPr>
            <w:tcW w:type="dxa" w:w="1780"/>
          </w:tcPr>
          <w:p>
            <w:pPr>
              <w:spacing w:after="40" w:before="40"/>
            </w:pPr>
            <w:r>
              <w:rPr>
                <w:rFonts w:ascii="微软雅黑" w:hAnsi="微软雅黑"/>
                <w:sz w:val="20"/>
              </w:rPr>
              <w:t>状态</w:t>
            </w:r>
          </w:p>
        </w:tc>
        <w:tc>
          <w:tcPr>
            <w:tcW w:type="dxa" w:w="1780"/>
          </w:tcPr>
          <w:p>
            <w:pPr>
              <w:spacing w:after="40" w:before="40"/>
            </w:pPr>
            <w:r>
              <w:rPr>
                <w:rFonts w:ascii="微软雅黑" w:hAnsi="微软雅黑"/>
                <w:sz w:val="20"/>
              </w:rPr>
              <w:t>支持的格式</w:t>
            </w:r>
          </w:p>
        </w:tc>
        <w:tc>
          <w:tcPr>
            <w:tcW w:type="dxa" w:w="1780"/>
          </w:tcPr>
          <w:p>
            <w:pPr>
              <w:spacing w:after="40" w:before="40"/>
            </w:pPr>
            <w:r>
              <w:rPr>
                <w:rFonts w:ascii="微软雅黑" w:hAnsi="微软雅黑"/>
                <w:sz w:val="20"/>
              </w:rPr>
              <w:t>手动注册</w:t>
            </w:r>
          </w:p>
        </w:tc>
        <w:tc>
          <w:tcPr>
            <w:tcW w:type="dxa" w:w="1780"/>
          </w:tcPr>
          <w:p>
            <w:pPr>
              <w:spacing w:after="40" w:before="40"/>
            </w:pPr>
            <w:r>
              <w:rPr>
                <w:rFonts w:ascii="微软雅黑" w:hAnsi="微软雅黑"/>
                <w:sz w:val="20"/>
              </w:rPr>
              <w:t>自动注册</w:t>
            </w:r>
          </w:p>
        </w:tc>
      </w:tr>
      <w:tr>
        <w:tc>
          <w:tcPr>
            <w:tcW w:type="dxa" w:w="1780"/>
          </w:tcPr>
          <w:p>
            <w:pPr>
              <w:spacing w:after="40" w:before="40"/>
            </w:pPr>
            <w:r>
              <w:rPr>
                <w:rFonts w:ascii="微软雅黑" w:hAnsi="微软雅黑"/>
                <w:sz w:val="20"/>
              </w:rPr>
              <w:t>[Amazon S3](/zh/foundry/available-connectors/amazon-s3/)</w:t>
            </w:r>
          </w:p>
        </w:tc>
        <w:tc>
          <w:tcPr>
            <w:tcW w:type="dxa" w:w="1780"/>
          </w:tcPr>
          <w:p>
            <w:pPr>
              <w:spacing w:after="40" w:before="40"/>
            </w:pPr>
            <w:r>
              <w:rPr>
                <w:rFonts w:ascii="微软雅黑" w:hAnsi="微软雅黑"/>
                <w:sz w:val="20"/>
              </w:rPr>
              <w:t>🟢 一般可用</w:t>
            </w:r>
          </w:p>
        </w:tc>
        <w:tc>
          <w:tcPr>
            <w:tcW w:type="dxa" w:w="1780"/>
          </w:tcPr>
          <w:p>
            <w:pPr>
              <w:spacing w:after="40" w:before="40"/>
            </w:pPr>
            <w:r>
              <w:rPr>
                <w:rFonts w:ascii="微软雅黑" w:hAnsi="微软雅黑"/>
                <w:sz w:val="20"/>
              </w:rPr>
              <w:t>[Avro ↗](https://avro.apache.org/), [Delta ↗](https://docs.delta.io/latest/), [Iceberg ↗](https://iceberg.apache.org/), [Parquet ↗](https://parquet.apache.org/)</w:t>
            </w:r>
          </w:p>
        </w:tc>
        <w:tc>
          <w:tcPr>
            <w:tcW w:type="dxa" w:w="1780"/>
          </w:tcPr>
          <w:p>
            <w:pPr>
              <w:spacing w:after="40" w:before="40"/>
            </w:pPr>
            <w:r>
              <w:rPr>
                <w:rFonts w:ascii="微软雅黑" w:hAnsi="微软雅黑"/>
                <w:sz w:val="20"/>
              </w:rPr>
              <w:t>✔️</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[Azure Data Lake Storage Gen2 (Azure Blob Storage)](/zh/foundry/available-connectors/azure-blob-filesystem/)</w:t>
            </w:r>
          </w:p>
        </w:tc>
        <w:tc>
          <w:tcPr>
            <w:tcW w:type="dxa" w:w="1780"/>
          </w:tcPr>
          <w:p>
            <w:pPr>
              <w:spacing w:after="40" w:before="40"/>
            </w:pPr>
            <w:r>
              <w:rPr>
                <w:rFonts w:ascii="微软雅黑" w:hAnsi="微软雅黑"/>
                <w:sz w:val="20"/>
              </w:rPr>
              <w:t>🟢 一般可用</w:t>
            </w:r>
          </w:p>
        </w:tc>
        <w:tc>
          <w:tcPr>
            <w:tcW w:type="dxa" w:w="1780"/>
          </w:tcPr>
          <w:p>
            <w:pPr>
              <w:spacing w:after="40" w:before="40"/>
            </w:pPr>
            <w:r>
              <w:rPr>
                <w:rFonts w:ascii="微软雅黑" w:hAnsi="微软雅黑"/>
                <w:sz w:val="20"/>
              </w:rPr>
              <w:t>[Avro ↗](https://avro.apache.org/), [Delta ↗](https://docs.delta.io/latest/), [Iceberg ↗](https://iceberg.apache.org/), [Parquet ↗](https://parquet.apache.org/)</w:t>
            </w:r>
          </w:p>
        </w:tc>
        <w:tc>
          <w:tcPr>
            <w:tcW w:type="dxa" w:w="1780"/>
          </w:tcPr>
          <w:p>
            <w:pPr>
              <w:spacing w:after="40" w:before="40"/>
            </w:pPr>
            <w:r>
              <w:rPr>
                <w:rFonts w:ascii="微软雅黑" w:hAnsi="微软雅黑"/>
                <w:sz w:val="20"/>
              </w:rPr>
              <w:t>✔️</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[BigQuery](/zh/foundry/available-connectors/bigquery/)</w:t>
            </w:r>
          </w:p>
        </w:tc>
        <w:tc>
          <w:tcPr>
            <w:tcW w:type="dxa" w:w="1780"/>
          </w:tcPr>
          <w:p>
            <w:pPr>
              <w:spacing w:after="40" w:before="40"/>
            </w:pPr>
            <w:r>
              <w:rPr>
                <w:rFonts w:ascii="微软雅黑" w:hAnsi="微软雅黑"/>
                <w:sz w:val="20"/>
              </w:rPr>
              <w:t>🟢 一般可用</w:t>
            </w:r>
          </w:p>
        </w:tc>
        <w:tc>
          <w:tcPr>
            <w:tcW w:type="dxa" w:w="1780"/>
          </w:tcPr>
          <w:p>
            <w:pPr>
              <w:spacing w:after="40" w:before="40"/>
            </w:pPr>
            <w:r>
              <w:rPr>
                <w:rFonts w:ascii="微软雅黑" w:hAnsi="微软雅黑"/>
                <w:sz w:val="20"/>
              </w:rPr>
              <w:t>Table, View, Materialized View</w:t>
            </w:r>
          </w:p>
        </w:tc>
        <w:tc>
          <w:tcPr>
            <w:tcW w:type="dxa" w:w="1780"/>
          </w:tcPr>
          <w:p>
            <w:pPr>
              <w:spacing w:after="40" w:before="40"/>
            </w:pPr>
            <w:r>
              <w:rPr>
                <w:rFonts w:ascii="微软雅黑" w:hAnsi="微软雅黑"/>
                <w:sz w:val="20"/>
              </w:rPr>
              <w:t>✔️</w:t>
            </w:r>
          </w:p>
        </w:tc>
        <w:tc>
          <w:tcPr>
            <w:tcW w:type="dxa" w:w="1780"/>
          </w:tcPr>
          <w:p>
            <w:pPr>
              <w:spacing w:after="40" w:before="40"/>
            </w:pPr>
            <w:r>
              <w:rPr>
                <w:rFonts w:ascii="微软雅黑" w:hAnsi="微软雅黑"/>
                <w:sz w:val="20"/>
              </w:rPr>
              <w:t>✔️</w:t>
            </w:r>
          </w:p>
        </w:tc>
      </w:tr>
      <w:tr>
        <w:tc>
          <w:tcPr>
            <w:tcW w:type="dxa" w:w="1780"/>
          </w:tcPr>
          <w:p>
            <w:pPr>
              <w:spacing w:after="40" w:before="40"/>
            </w:pPr>
            <w:r>
              <w:rPr>
                <w:rFonts w:ascii="微软雅黑" w:hAnsi="微软雅黑"/>
                <w:sz w:val="20"/>
              </w:rPr>
              <w:t>[Google Cloud Storage](/zh/foundry/available-connectors/google-cloud-storage/)</w:t>
            </w:r>
          </w:p>
        </w:tc>
        <w:tc>
          <w:tcPr>
            <w:tcW w:type="dxa" w:w="1780"/>
          </w:tcPr>
          <w:p>
            <w:pPr>
              <w:spacing w:after="40" w:before="40"/>
            </w:pPr>
            <w:r>
              <w:rPr>
                <w:rFonts w:ascii="微软雅黑" w:hAnsi="微软雅黑"/>
                <w:sz w:val="20"/>
              </w:rPr>
              <w:t>🟢 一般可用</w:t>
            </w:r>
          </w:p>
        </w:tc>
        <w:tc>
          <w:tcPr>
            <w:tcW w:type="dxa" w:w="1780"/>
          </w:tcPr>
          <w:p>
            <w:pPr>
              <w:spacing w:after="40" w:before="40"/>
            </w:pPr>
            <w:r>
              <w:rPr>
                <w:rFonts w:ascii="微软雅黑" w:hAnsi="微软雅黑"/>
                <w:sz w:val="20"/>
              </w:rPr>
              <w:t>[Avro ↗](https://avro.apache.org/), [Delta ↗](https://docs.delta.io/latest/), [Iceberg ↗](https://iceberg.apache.org/), [Parquet ↗](https://parquet.apache.org/)</w:t>
            </w:r>
          </w:p>
        </w:tc>
        <w:tc>
          <w:tcPr>
            <w:tcW w:type="dxa" w:w="1780"/>
          </w:tcPr>
          <w:p>
            <w:pPr>
              <w:spacing w:after="40" w:before="40"/>
            </w:pPr>
            <w:r>
              <w:rPr>
                <w:rFonts w:ascii="微软雅黑" w:hAnsi="微软雅黑"/>
                <w:sz w:val="20"/>
              </w:rPr>
              <w:t>✔️</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[Snowflake](/zh/foundry/available-connectors/snowflake/)</w:t>
            </w:r>
          </w:p>
        </w:tc>
        <w:tc>
          <w:tcPr>
            <w:tcW w:type="dxa" w:w="1780"/>
          </w:tcPr>
          <w:p>
            <w:pPr>
              <w:spacing w:after="40" w:before="40"/>
            </w:pPr>
            <w:r>
              <w:rPr>
                <w:rFonts w:ascii="微软雅黑" w:hAnsi="微软雅黑"/>
                <w:sz w:val="20"/>
              </w:rPr>
              <w:t>🟢 一般可用</w:t>
            </w:r>
          </w:p>
        </w:tc>
        <w:tc>
          <w:tcPr>
            <w:tcW w:type="dxa" w:w="1780"/>
          </w:tcPr>
          <w:p>
            <w:pPr>
              <w:spacing w:after="40" w:before="40"/>
            </w:pPr>
            <w:r>
              <w:rPr>
                <w:rFonts w:ascii="微软雅黑" w:hAnsi="微软雅黑"/>
                <w:sz w:val="20"/>
              </w:rPr>
              <w:t>Table, View, Materialized View</w:t>
            </w:r>
          </w:p>
        </w:tc>
        <w:tc>
          <w:tcPr>
            <w:tcW w:type="dxa" w:w="1780"/>
          </w:tcPr>
          <w:p>
            <w:pPr>
              <w:spacing w:after="40" w:before="40"/>
            </w:pPr>
            <w:r>
              <w:rPr>
                <w:rFonts w:ascii="微软雅黑" w:hAnsi="微软雅黑"/>
                <w:sz w:val="20"/>
              </w:rPr>
              <w:t>✔️</w:t>
            </w:r>
          </w:p>
        </w:tc>
        <w:tc>
          <w:tcPr>
            <w:tcW w:type="dxa" w:w="1780"/>
          </w:tcPr>
          <w:p>
            <w:pPr>
              <w:spacing w:after="40" w:before="40"/>
            </w:pPr>
            <w:r>
              <w:rPr>
                <w:rFonts w:ascii="微软雅黑" w:hAnsi="微软雅黑"/>
                <w:sz w:val="20"/>
              </w:rPr>
              <w:t>✔️</w:t>
            </w:r>
          </w:p>
        </w:tc>
      </w:tr>
    </w:tbl>
    <w:p/>
    <w:p>
      <w:pPr>
        <w:pStyle w:val="Heading3"/>
      </w:pPr>
      <w:r>
        <w:rPr>
          <w:rFonts w:ascii="微软雅黑" w:hAnsi="微软雅黑"/>
        </w:rPr>
        <w:t>Iceberg目录</w:t>
      </w:r>
    </w:p>
    <w:p>
      <w:pPr>
        <w:spacing w:line="360" w:lineRule="auto" w:after="120"/>
      </w:pPr>
      <w:r>
        <w:rPr>
          <w:rFonts w:ascii="微软雅黑" w:hAnsi="微软雅黑"/>
          <w:sz w:val="21"/>
        </w:rPr>
        <w:t>加载由Apache Iceberg表支持的虚拟表需要一个Iceberg目录。要了解有关Iceberg目录的更多信息，请参见</w:t>
      </w:r>
      <w:r>
        <w:rPr>
          <w:rFonts w:ascii="微软雅黑" w:hAnsi="微软雅黑"/>
          <w:color w:val="0066CC"/>
          <w:sz w:val="21"/>
          <w:u w:val="single"/>
        </w:rPr>
        <w:t>Apache Iceberg文档 ↗</w:t>
      </w:r>
      <w:r>
        <w:rPr>
          <w:rFonts w:ascii="微软雅黑" w:hAnsi="微软雅黑"/>
          <w:sz w:val="21"/>
        </w:rPr>
        <w:t>。虚拟表支持不同的目录选项，具体取决于所使用的来源。下表突出显示了支持的目录。有关如何配置每个目录的详细信息，请参阅</w:t>
      </w:r>
      <w:r>
        <w:rPr>
          <w:rFonts w:ascii="微软雅黑" w:hAnsi="微软雅黑"/>
          <w:color w:val="0066CC"/>
          <w:sz w:val="21"/>
          <w:u w:val="single"/>
        </w:rPr>
        <w:t>来源文档</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来源</w:t>
            </w:r>
          </w:p>
        </w:tc>
        <w:tc>
          <w:tcPr>
            <w:tcW w:type="dxa" w:w="2225"/>
          </w:tcPr>
          <w:p>
            <w:pPr>
              <w:spacing w:after="40" w:before="40"/>
            </w:pPr>
            <w:r>
              <w:rPr>
                <w:rFonts w:ascii="微软雅黑" w:hAnsi="微软雅黑"/>
                <w:sz w:val="20"/>
              </w:rPr>
              <w:t>AWS Glue</w:t>
            </w:r>
          </w:p>
        </w:tc>
        <w:tc>
          <w:tcPr>
            <w:tcW w:type="dxa" w:w="2225"/>
          </w:tcPr>
          <w:p>
            <w:pPr>
              <w:spacing w:after="40" w:before="40"/>
            </w:pPr>
            <w:r>
              <w:rPr>
                <w:rFonts w:ascii="微软雅黑" w:hAnsi="微软雅黑"/>
                <w:sz w:val="20"/>
              </w:rPr>
              <w:t>Object Storage</w:t>
            </w:r>
          </w:p>
        </w:tc>
        <w:tc>
          <w:tcPr>
            <w:tcW w:type="dxa" w:w="2225"/>
          </w:tcPr>
          <w:p>
            <w:pPr>
              <w:spacing w:after="40" w:before="40"/>
            </w:pPr>
            <w:r>
              <w:rPr>
                <w:rFonts w:ascii="微软雅黑" w:hAnsi="微软雅黑"/>
                <w:sz w:val="20"/>
              </w:rPr>
              <w:t>Unity Catalog</w:t>
            </w:r>
          </w:p>
        </w:tc>
      </w:tr>
      <w:tr>
        <w:tc>
          <w:tcPr>
            <w:tcW w:type="dxa" w:w="2225"/>
          </w:tcPr>
          <w:p>
            <w:pPr>
              <w:spacing w:after="40" w:before="40"/>
            </w:pPr>
            <w:r>
              <w:rPr>
                <w:rFonts w:ascii="微软雅黑" w:hAnsi="微软雅黑"/>
                <w:sz w:val="20"/>
              </w:rPr>
              <w:t>[Amazon S3](/zh/foundry/available-connectors/amazon-s3/)</w:t>
            </w:r>
          </w:p>
        </w:tc>
        <w:tc>
          <w:tcPr>
            <w:tcW w:type="dxa" w:w="2225"/>
          </w:tcPr>
          <w:p>
            <w:pPr>
              <w:spacing w:after="40" w:before="40"/>
            </w:pPr>
            <w:r>
              <w:rPr>
                <w:rFonts w:ascii="微软雅黑" w:hAnsi="微软雅黑"/>
                <w:sz w:val="20"/>
              </w:rPr>
              <w:t>🟢 一般可用</w:t>
            </w:r>
          </w:p>
        </w:tc>
        <w:tc>
          <w:tcPr>
            <w:tcW w:type="dxa" w:w="2225"/>
          </w:tcPr>
          <w:p>
            <w:pPr>
              <w:spacing w:after="40" w:before="40"/>
            </w:pPr>
            <w:r>
              <w:rPr>
                <w:rFonts w:ascii="微软雅黑" w:hAnsi="微软雅黑"/>
                <w:sz w:val="20"/>
              </w:rPr>
              <w:t>🟢 一般可用</w:t>
            </w:r>
          </w:p>
        </w:tc>
        <w:tc>
          <w:tcPr>
            <w:tcW w:type="dxa" w:w="2225"/>
          </w:tcPr>
          <w:p>
            <w:pPr>
              <w:spacing w:after="40" w:before="40"/>
            </w:pPr>
            <w:r>
              <w:rPr>
                <w:rFonts w:ascii="微软雅黑" w:hAnsi="微软雅黑"/>
                <w:sz w:val="20"/>
              </w:rPr>
              <w:t>🟢 一般可用</w:t>
            </w:r>
          </w:p>
        </w:tc>
      </w:tr>
      <w:tr>
        <w:tc>
          <w:tcPr>
            <w:tcW w:type="dxa" w:w="2225"/>
          </w:tcPr>
          <w:p>
            <w:pPr>
              <w:spacing w:after="40" w:before="40"/>
            </w:pPr>
            <w:r>
              <w:rPr>
                <w:rFonts w:ascii="微软雅黑" w:hAnsi="微软雅黑"/>
                <w:sz w:val="20"/>
              </w:rPr>
              <w:t>[Azure Data Lake Storage Gen2 (Azure Blob Storage)](/zh/foundry/available-connectors/azure-blob-filesystem/)</w:t>
            </w:r>
          </w:p>
        </w:tc>
        <w:tc>
          <w:tcPr>
            <w:tcW w:type="dxa" w:w="2225"/>
          </w:tcPr>
          <w:p>
            <w:pPr>
              <w:spacing w:after="40" w:before="40"/>
            </w:pPr>
            <w:r>
              <w:rPr>
                <w:rFonts w:ascii="微软雅黑" w:hAnsi="微软雅黑"/>
                <w:sz w:val="20"/>
              </w:rPr>
              <w:t>🔴 不可用</w:t>
            </w:r>
          </w:p>
        </w:tc>
        <w:tc>
          <w:tcPr>
            <w:tcW w:type="dxa" w:w="2225"/>
          </w:tcPr>
          <w:p>
            <w:pPr>
              <w:spacing w:after="40" w:before="40"/>
            </w:pPr>
            <w:r>
              <w:rPr>
                <w:rFonts w:ascii="微软雅黑" w:hAnsi="微软雅黑"/>
                <w:sz w:val="20"/>
              </w:rPr>
              <w:t>🟢 一般可用</w:t>
            </w:r>
          </w:p>
        </w:tc>
        <w:tc>
          <w:tcPr>
            <w:tcW w:type="dxa" w:w="2225"/>
          </w:tcPr>
          <w:p>
            <w:pPr>
              <w:spacing w:after="40" w:before="40"/>
            </w:pPr>
            <w:r>
              <w:rPr>
                <w:rFonts w:ascii="微软雅黑" w:hAnsi="微软雅黑"/>
                <w:sz w:val="20"/>
              </w:rPr>
              <w:t>🟢 一般可用</w:t>
            </w:r>
          </w:p>
        </w:tc>
      </w:tr>
      <w:tr>
        <w:tc>
          <w:tcPr>
            <w:tcW w:type="dxa" w:w="2225"/>
          </w:tcPr>
          <w:p>
            <w:pPr>
              <w:spacing w:after="40" w:before="40"/>
            </w:pPr>
            <w:r>
              <w:rPr>
                <w:rFonts w:ascii="微软雅黑" w:hAnsi="微软雅黑"/>
                <w:sz w:val="20"/>
              </w:rPr>
              <w:t>[Google Cloud Storage](/zh/foundry/available-connectors/google-cloud-storage/)</w:t>
            </w:r>
          </w:p>
        </w:tc>
        <w:tc>
          <w:tcPr>
            <w:tcW w:type="dxa" w:w="2225"/>
          </w:tcPr>
          <w:p>
            <w:pPr>
              <w:spacing w:after="40" w:before="40"/>
            </w:pPr>
            <w:r>
              <w:rPr>
                <w:rFonts w:ascii="微软雅黑" w:hAnsi="微软雅黑"/>
                <w:sz w:val="20"/>
              </w:rPr>
              <w:t>🔴 不可用</w:t>
            </w:r>
          </w:p>
        </w:tc>
        <w:tc>
          <w:tcPr>
            <w:tcW w:type="dxa" w:w="2225"/>
          </w:tcPr>
          <w:p>
            <w:pPr>
              <w:spacing w:after="40" w:before="40"/>
            </w:pPr>
            <w:r>
              <w:rPr>
                <w:rFonts w:ascii="微软雅黑" w:hAnsi="微软雅黑"/>
                <w:sz w:val="20"/>
              </w:rPr>
              <w:t>🟢 一般可用</w:t>
            </w:r>
          </w:p>
        </w:tc>
        <w:tc>
          <w:tcPr>
            <w:tcW w:type="dxa" w:w="2225"/>
          </w:tcPr>
          <w:p>
            <w:pPr>
              <w:spacing w:after="40" w:before="40"/>
            </w:pPr>
            <w:r>
              <w:rPr>
                <w:rFonts w:ascii="微软雅黑" w:hAnsi="微软雅黑"/>
                <w:sz w:val="20"/>
              </w:rPr>
              <w:t>🔴 不可用</w:t>
            </w:r>
          </w:p>
        </w:tc>
      </w:tr>
    </w:tbl>
    <w:p/>
    <w:p>
      <w:pPr>
        <w:pStyle w:val="Heading2"/>
      </w:pPr>
      <w:r>
        <w:rPr>
          <w:rFonts w:ascii="微软雅黑" w:hAnsi="微软雅黑"/>
        </w:rPr>
        <w:t>支持的Foundry工作流</w:t>
      </w:r>
    </w:p>
    <w:p>
      <w:pPr>
        <w:spacing w:line="360" w:lineRule="auto" w:after="120"/>
      </w:pPr>
      <w:r>
        <w:rPr>
          <w:rFonts w:ascii="微软雅黑" w:hAnsi="微软雅黑"/>
          <w:sz w:val="21"/>
        </w:rPr>
        <w:t>虚拟表被支持作为以下应用程序和工作流中的输入：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支持的应用程序</w:t>
            </w:r>
          </w:p>
        </w:tc>
        <w:tc>
          <w:tcPr>
            <w:tcW w:type="dxa" w:w="2967"/>
          </w:tcPr>
          <w:p>
            <w:pPr>
              <w:spacing w:after="40" w:before="40"/>
            </w:pPr>
            <w:r>
              <w:rPr>
                <w:rFonts w:ascii="微软雅黑" w:hAnsi="微软雅黑"/>
                <w:sz w:val="20"/>
              </w:rPr>
              <w:t>支持的工作流</w:t>
            </w:r>
          </w:p>
        </w:tc>
        <w:tc>
          <w:tcPr>
            <w:tcW w:type="dxa" w:w="2967"/>
          </w:tcPr>
          <w:p>
            <w:pPr>
              <w:spacing w:after="40" w:before="40"/>
            </w:pPr>
            <w:r>
              <w:rPr>
                <w:rFonts w:ascii="微软雅黑" w:hAnsi="微软雅黑"/>
                <w:sz w:val="20"/>
              </w:rPr>
              <w:t>不支持</w:t>
            </w:r>
          </w:p>
        </w:tc>
      </w:tr>
      <w:tr>
        <w:tc>
          <w:tcPr>
            <w:tcW w:type="dxa" w:w="2967"/>
          </w:tcPr>
          <w:p>
            <w:pPr>
              <w:spacing w:after="40" w:before="40"/>
            </w:pPr>
            <w:r>
              <w:rPr>
                <w:rFonts w:ascii="微软雅黑" w:hAnsi="微软雅黑"/>
                <w:sz w:val="20"/>
              </w:rPr>
              <w:t>[数据连接](/zh/foundry/data-connection/overview/)</w:t>
            </w:r>
          </w:p>
        </w:tc>
        <w:tc>
          <w:tcPr>
            <w:tcW w:type="dxa" w:w="2967"/>
          </w:tcPr>
          <w:p>
            <w:pPr>
              <w:spacing w:after="40" w:before="40"/>
            </w:pPr>
            <w:r>
              <w:rPr>
                <w:rFonts w:ascii="微软雅黑" w:hAnsi="微软雅黑"/>
                <w:sz w:val="20"/>
              </w:rPr>
              <w:t>配置来源&lt;br&gt;注册虚拟表</w:t>
            </w:r>
          </w:p>
        </w:tc>
        <w:tc>
          <w:tcPr>
            <w:tcW w:type="dxa" w:w="2967"/>
          </w:tcPr>
          <w:p>
            <w:pPr>
              <w:spacing w:after="40" w:before="40"/>
            </w:pPr>
            <w:r>
              <w:rPr>
                <w:rFonts w:ascii="微软雅黑" w:hAnsi="微软雅黑"/>
                <w:sz w:val="20"/>
              </w:rPr>
              <w:t>基于代理的连接</w:t>
            </w:r>
          </w:p>
        </w:tc>
      </w:tr>
      <w:tr>
        <w:tc>
          <w:tcPr>
            <w:tcW w:type="dxa" w:w="2967"/>
          </w:tcPr>
          <w:p>
            <w:pPr>
              <w:spacing w:after="40" w:before="40"/>
            </w:pPr>
            <w:r>
              <w:rPr>
                <w:rFonts w:ascii="微软雅黑" w:hAnsi="微软雅黑"/>
                <w:sz w:val="20"/>
              </w:rPr>
              <w:t>[Contour](/zh/foundry/contour/overview/)</w:t>
            </w:r>
          </w:p>
        </w:tc>
        <w:tc>
          <w:tcPr>
            <w:tcW w:type="dxa" w:w="2967"/>
          </w:tcPr>
          <w:p>
            <w:pPr>
              <w:spacing w:after="40" w:before="40"/>
            </w:pPr>
            <w:r>
              <w:rPr>
                <w:rFonts w:ascii="微软雅黑" w:hAnsi="微软雅黑"/>
                <w:sz w:val="20"/>
              </w:rPr>
              <w:t>在Contour中分析</w:t>
            </w:r>
          </w:p>
        </w:tc>
        <w:tc>
          <w:tcPr>
            <w:tcW w:type="dxa" w:w="2967"/>
          </w:tcPr>
          <w:p>
            <w:pPr>
              <w:spacing w:after="40" w:before="40"/>
            </w:pPr>
            <w:r>
              <w:rPr>
                <w:rFonts w:ascii="微软雅黑" w:hAnsi="微软雅黑"/>
                <w:sz w:val="20"/>
              </w:rPr>
              <w:t>保存为数据集</w:t>
            </w:r>
          </w:p>
        </w:tc>
      </w:tr>
      <w:tr>
        <w:tc>
          <w:tcPr>
            <w:tcW w:type="dxa" w:w="2967"/>
          </w:tcPr>
          <w:p>
            <w:pPr>
              <w:spacing w:after="40" w:before="40"/>
            </w:pPr>
            <w:r>
              <w:rPr>
                <w:rFonts w:ascii="微软雅黑" w:hAnsi="微软雅黑"/>
                <w:sz w:val="20"/>
              </w:rPr>
              <w:t>[Ontology](/zh/foundry/ontology/overview/)</w:t>
            </w:r>
          </w:p>
        </w:tc>
        <w:tc>
          <w:tcPr>
            <w:tcW w:type="dxa" w:w="2967"/>
          </w:tcPr>
          <w:p>
            <w:pPr>
              <w:spacing w:after="40" w:before="40"/>
            </w:pPr>
            <w:r>
              <w:rPr>
                <w:rFonts w:ascii="微软雅黑" w:hAnsi="微软雅黑"/>
                <w:sz w:val="20"/>
              </w:rPr>
              <w:t>通过Pipeline Builder进行Object创建</w:t>
            </w:r>
          </w:p>
        </w:tc>
        <w:tc>
          <w:tcPr>
            <w:tcW w:type="dxa" w:w="2967"/>
          </w:tcPr>
          <w:p>
            <w:pPr>
              <w:spacing w:after="40" w:before="40"/>
            </w:pPr>
            <w:r>
              <w:rPr>
                <w:rFonts w:ascii="微软雅黑" w:hAnsi="微软雅黑"/>
                <w:sz w:val="20"/>
              </w:rPr>
              <w:t>通过Ontology Manager进行Object创建</w:t>
            </w:r>
          </w:p>
        </w:tc>
      </w:tr>
      <w:tr>
        <w:tc>
          <w:tcPr>
            <w:tcW w:type="dxa" w:w="2967"/>
          </w:tcPr>
          <w:p>
            <w:pPr>
              <w:spacing w:after="40" w:before="40"/>
            </w:pPr>
            <w:r>
              <w:rPr>
                <w:rFonts w:ascii="微软雅黑" w:hAnsi="微软雅黑"/>
                <w:sz w:val="20"/>
              </w:rPr>
              <w:t>[数据沿袭](/zh/foundry/data-lineage/overview/)</w:t>
            </w:r>
          </w:p>
        </w:tc>
        <w:tc>
          <w:tcPr>
            <w:tcW w:type="dxa" w:w="2967"/>
          </w:tcPr>
          <w:p>
            <w:pPr>
              <w:spacing w:after="40" w:before="40"/>
            </w:pPr>
            <w:r>
              <w:rPr>
                <w:rFonts w:ascii="微软雅黑" w:hAnsi="微软雅黑"/>
                <w:sz w:val="20"/>
              </w:rPr>
              <w:t>查看Foundry沿袭</w:t>
            </w:r>
          </w:p>
        </w:tc>
        <w:tc>
          <w:tcPr>
            <w:tcW w:type="dxa" w:w="2967"/>
          </w:tcPr>
          <w:p>
            <w:pPr>
              <w:spacing w:after="40" w:before="40"/>
            </w:pPr>
            <w:r>
              <w:rPr>
                <w:rFonts w:ascii="微软雅黑" w:hAnsi="微软雅黑"/>
                <w:sz w:val="20"/>
              </w:rPr>
            </w:r>
          </w:p>
        </w:tc>
      </w:tr>
      <w:tr>
        <w:tc>
          <w:tcPr>
            <w:tcW w:type="dxa" w:w="2967"/>
          </w:tcPr>
          <w:p>
            <w:pPr>
              <w:spacing w:after="40" w:before="40"/>
            </w:pPr>
            <w:r>
              <w:rPr>
                <w:rFonts w:ascii="微软雅黑" w:hAnsi="微软雅黑"/>
                <w:sz w:val="20"/>
              </w:rPr>
              <w:t>[Pipeline Builder](/zh/foundry/pipeline-builder/overview/)</w:t>
            </w:r>
          </w:p>
        </w:tc>
        <w:tc>
          <w:tcPr>
            <w:tcW w:type="dxa" w:w="2967"/>
          </w:tcPr>
          <w:p>
            <w:pPr>
              <w:spacing w:after="40" w:before="40"/>
            </w:pPr>
            <w:r>
              <w:rPr>
                <w:rFonts w:ascii="微软雅黑" w:hAnsi="微软雅黑"/>
                <w:sz w:val="20"/>
              </w:rPr>
              <w:t>管道输入&lt;br&gt;Object &amp; 数据集输出&lt;br&gt;快照搭建&lt;br&gt;增量搭建（仅追加）</w:t>
            </w:r>
          </w:p>
        </w:tc>
        <w:tc>
          <w:tcPr>
            <w:tcW w:type="dxa" w:w="2967"/>
          </w:tcPr>
          <w:p>
            <w:pPr>
              <w:spacing w:after="40" w:before="40"/>
            </w:pPr>
            <w:r>
              <w:rPr>
                <w:rFonts w:ascii="微软雅黑" w:hAnsi="微软雅黑"/>
                <w:sz w:val="20"/>
              </w:rPr>
              <w:t>流式搭建</w:t>
            </w:r>
          </w:p>
        </w:tc>
      </w:tr>
      <w:tr>
        <w:tc>
          <w:tcPr>
            <w:tcW w:type="dxa" w:w="2967"/>
          </w:tcPr>
          <w:p>
            <w:pPr>
              <w:spacing w:after="40" w:before="40"/>
            </w:pPr>
            <w:r>
              <w:rPr>
                <w:rFonts w:ascii="微软雅黑" w:hAnsi="微软雅黑"/>
                <w:sz w:val="20"/>
              </w:rPr>
              <w:t>[代码库](/zh/foundry/building-pipelines/create-batch-pipeline-cr/)</w:t>
            </w:r>
          </w:p>
        </w:tc>
        <w:tc>
          <w:tcPr>
            <w:tcW w:type="dxa" w:w="2967"/>
          </w:tcPr>
          <w:p>
            <w:pPr>
              <w:spacing w:after="40" w:before="40"/>
            </w:pPr>
            <w:r>
              <w:rPr>
                <w:rFonts w:ascii="微软雅黑" w:hAnsi="微软雅黑"/>
                <w:sz w:val="20"/>
              </w:rPr>
              <w:t>[Python变换](/zh/foundry/transforms-python/tables-overview/)&lt;br&gt;&lt;br&gt;快照搭建&lt;br&gt;增量搭建（仅追加）</w:t>
            </w:r>
          </w:p>
        </w:tc>
        <w:tc>
          <w:tcPr>
            <w:tcW w:type="dxa" w:w="2967"/>
          </w:tcPr>
          <w:p>
            <w:pPr>
              <w:spacing w:after="40" w:before="40"/>
            </w:pPr>
            <w:r>
              <w:rPr>
                <w:rFonts w:ascii="微软雅黑" w:hAnsi="微软雅黑"/>
                <w:sz w:val="20"/>
              </w:rPr>
              <w:t>Java变换&lt;br&gt;SQL变换</w:t>
            </w:r>
          </w:p>
        </w:tc>
      </w:tr>
    </w:tbl>
    <w:p/>
    <w:p>
      <w:pPr>
        <w:spacing w:line="360" w:lineRule="auto" w:after="120"/>
      </w:pPr>
      <w:r>
        <w:rPr>
          <w:rFonts w:ascii="微软雅黑" w:hAnsi="微软雅黑"/>
          <w:sz w:val="21"/>
        </w:rPr>
        <w:t>注意某些来源类型可能不支持所有这些功能。有关详细信息，请参阅</w:t>
      </w:r>
      <w:r>
        <w:rPr>
          <w:rFonts w:ascii="微软雅黑" w:hAnsi="微软雅黑"/>
          <w:color w:val="0066CC"/>
          <w:sz w:val="21"/>
          <w:u w:val="single"/>
        </w:rPr>
        <w:t>来源特定文档</w:t>
      </w:r>
      <w:r>
        <w:rPr>
          <w:rFonts w:ascii="微软雅黑" w:hAnsi="微软雅黑"/>
          <w:sz w:val="21"/>
        </w:rPr>
        <w:t>。</w:t>
      </w:r>
      <w:r>
        <w:rPr>
          <w:rFonts w:ascii="微软雅黑" w:hAnsi="微软雅黑"/>
          <w:color w:val="0066CC"/>
          <w:sz w:val="21"/>
          <w:u w:val="single"/>
        </w:rPr>
        <w:t>了解更多关于在代码库中使用虚拟表时如何配置来源的信息。</w:t>
      </w:r>
    </w:p>
    <w:p>
      <w:pPr>
        <w:spacing w:line="360" w:lineRule="auto" w:after="120"/>
      </w:pPr>
      <w:r>
        <w:rPr>
          <w:rFonts w:ascii="微软雅黑" w:hAnsi="微软雅黑"/>
          <w:sz w:val="21"/>
        </w:rPr>
        <w:t>一般来说，可以通过以下方式在大多数常见的Foundry工作流中使用虚拟表：</w:t>
      </w:r>
    </w:p>
    <w:p>
      <w:pPr>
        <w:pStyle w:val="ListBullet"/>
        <w:spacing w:line="360" w:lineRule="auto" w:after="120"/>
      </w:pPr>
      <w:r>
        <w:rPr>
          <w:rFonts w:ascii="微软雅黑" w:hAnsi="微软雅黑"/>
          <w:sz w:val="21"/>
        </w:rPr>
        <w:t>直接与上述描述的虚拟表进行交互，或</w:t>
      </w:r>
    </w:p>
    <w:p>
      <w:pPr>
        <w:pStyle w:val="ListBullet"/>
        <w:spacing w:line="360" w:lineRule="auto" w:after="120"/>
      </w:pPr>
      <w:r>
        <w:rPr>
          <w:rFonts w:ascii="微软雅黑" w:hAnsi="微软雅黑"/>
          <w:sz w:val="21"/>
        </w:rPr>
        <w:t>创建一个由虚拟表支持的变换管道，输出Foundry数据集或Object。这些输出可以在平台中正常使用。</w:t>
      </w:r>
    </w:p>
    <w:p>
      <w:pPr>
        <w:pStyle w:val="Heading2"/>
      </w:pPr>
      <w:r>
        <w:rPr>
          <w:rFonts w:ascii="微软雅黑" w:hAnsi="微软雅黑"/>
        </w:rPr>
        <w:t>为虚拟表设置连接</w:t>
      </w:r>
    </w:p>
    <w:p>
      <w:pPr>
        <w:spacing w:line="360" w:lineRule="auto" w:after="120"/>
      </w:pPr>
      <w:r>
        <w:rPr>
          <w:rFonts w:ascii="微软雅黑" w:hAnsi="微软雅黑"/>
          <w:sz w:val="21"/>
        </w:rPr>
        <w:t>支持虚拟表的来源在</w:t>
      </w:r>
      <w:r>
        <w:rPr>
          <w:rFonts w:ascii="微软雅黑" w:hAnsi="微软雅黑"/>
          <w:color w:val="0066CC"/>
          <w:sz w:val="21"/>
          <w:u w:val="single"/>
        </w:rPr>
        <w:t>数据连接</w:t>
      </w:r>
      <w:r>
        <w:rPr>
          <w:rFonts w:ascii="微软雅黑" w:hAnsi="微软雅黑"/>
          <w:sz w:val="21"/>
        </w:rPr>
        <w:t>应用程序中设置。选择您要使用的来源，然后导航到来源配置中的</w:t>
      </w:r>
      <w:r>
        <w:rPr>
          <w:rFonts w:ascii="微软雅黑" w:hAnsi="微软雅黑"/>
          <w:b/>
          <w:sz w:val="21"/>
        </w:rPr>
        <w:t>虚拟表</w:t>
      </w:r>
      <w:r>
        <w:rPr>
          <w:rFonts w:ascii="微软雅黑" w:hAnsi="微软雅黑"/>
          <w:sz w:val="21"/>
        </w:rPr>
        <w:t>选项卡。按照</w:t>
      </w:r>
      <w:r>
        <w:rPr>
          <w:rFonts w:ascii="微软雅黑" w:hAnsi="微软雅黑"/>
          <w:color w:val="0066CC"/>
          <w:sz w:val="21"/>
          <w:u w:val="single"/>
        </w:rPr>
        <w:t>来源文档</w:t>
      </w:r>
      <w:r>
        <w:rPr>
          <w:rFonts w:ascii="微软雅黑" w:hAnsi="微软雅黑"/>
          <w:sz w:val="21"/>
        </w:rPr>
        <w:t>和使用虚拟表的任何要求进行操作。</w:t>
      </w:r>
    </w:p>
    <w:p>
      <w:pPr>
        <w:spacing w:after="40"/>
        <w:jc w:val="center"/>
      </w:pPr>
      <w:r>
        <w:rPr>
          <w:i/>
          <w:color w:val="646464"/>
          <w:sz w:val="18"/>
        </w:rPr>
        <w:t>图：虚拟表注册</w:t>
      </w:r>
    </w:p>
    <w:p>
      <w:pPr>
        <w:spacing w:before="120" w:after="240"/>
        <w:jc w:val="center"/>
      </w:pPr>
      <w:r>
        <w:drawing>
          <wp:inline xmlns:a="http://schemas.openxmlformats.org/drawingml/2006/main" xmlns:pic="http://schemas.openxmlformats.org/drawingml/2006/picture">
            <wp:extent cx="4520045" cy="4114800"/>
            <wp:docPr id="63" name="Picture 63"/>
            <wp:cNvGraphicFramePr>
              <a:graphicFrameLocks noChangeAspect="1"/>
            </wp:cNvGraphicFramePr>
            <a:graphic>
              <a:graphicData uri="http://schemas.openxmlformats.org/drawingml/2006/picture">
                <pic:pic>
                  <pic:nvPicPr>
                    <pic:cNvPr id="0" name="virtual_tables_registration.png"/>
                    <pic:cNvPicPr/>
                  </pic:nvPicPr>
                  <pic:blipFill>
                    <a:blip r:embed="rId70"/>
                    <a:stretch>
                      <a:fillRect/>
                    </a:stretch>
                  </pic:blipFill>
                  <pic:spPr>
                    <a:xfrm>
                      <a:off x="0" y="0"/>
                      <a:ext cx="4520045" cy="4114800"/>
                    </a:xfrm>
                    <a:prstGeom prst="rect"/>
                  </pic:spPr>
                </pic:pic>
              </a:graphicData>
            </a:graphic>
          </wp:inline>
        </w:drawing>
      </w:r>
    </w:p>
    <w:p>
      <w:pPr>
        <w:pStyle w:val="Heading3"/>
      </w:pPr>
      <w:r>
        <w:rPr>
          <w:rFonts w:ascii="微软雅黑" w:hAnsi="微软雅黑"/>
        </w:rPr>
        <w:t>虚拟表的手动与自动注册</w:t>
      </w:r>
    </w:p>
    <w:p>
      <w:pPr>
        <w:spacing w:line="360" w:lineRule="auto" w:after="120"/>
      </w:pPr>
      <w:r>
        <w:rPr>
          <w:rFonts w:ascii="微软雅黑" w:hAnsi="微软雅黑"/>
          <w:sz w:val="21"/>
        </w:rPr>
        <w:t>所有来源支持</w:t>
      </w:r>
      <w:r>
        <w:rPr>
          <w:rFonts w:ascii="微软雅黑" w:hAnsi="微软雅黑"/>
          <w:b/>
          <w:sz w:val="21"/>
        </w:rPr>
        <w:t>手动注册</w:t>
      </w:r>
      <w:r>
        <w:rPr>
          <w:rFonts w:ascii="微软雅黑" w:hAnsi="微软雅黑"/>
          <w:sz w:val="21"/>
        </w:rPr>
        <w:t>，允许您在Foundry中从源系统注册单个表。某些来源还支持</w:t>
      </w:r>
      <w:r>
        <w:rPr>
          <w:rFonts w:ascii="微软雅黑" w:hAnsi="微软雅黑"/>
          <w:b/>
          <w:sz w:val="21"/>
        </w:rPr>
        <w:t>自动注册</w:t>
      </w:r>
      <w:r>
        <w:rPr>
          <w:rFonts w:ascii="微软雅黑" w:hAnsi="微软雅黑"/>
          <w:sz w:val="21"/>
        </w:rPr>
        <w:t>，这将定期在指定项目中注册可通过配置凭据访问的来源中的所有表。</w:t>
      </w:r>
    </w:p>
    <w:p>
      <w:pPr>
        <w:spacing w:line="360" w:lineRule="auto" w:after="120"/>
      </w:pPr>
      <w:r>
        <w:rPr>
          <w:rFonts w:ascii="微软雅黑" w:hAnsi="微软雅黑"/>
          <w:sz w:val="21"/>
        </w:rPr>
        <w:t>使用</w:t>
      </w:r>
      <w:r>
        <w:rPr>
          <w:rFonts w:ascii="微软雅黑" w:hAnsi="微软雅黑"/>
          <w:b/>
          <w:sz w:val="21"/>
        </w:rPr>
        <w:t>手动注册</w:t>
      </w:r>
      <w:r>
        <w:rPr>
          <w:rFonts w:ascii="微软雅黑" w:hAnsi="微软雅黑"/>
          <w:sz w:val="21"/>
        </w:rPr>
        <w:t>时，您可以选择</w:t>
      </w:r>
      <w:r>
        <w:rPr>
          <w:rFonts w:ascii="微软雅黑" w:hAnsi="微软雅黑"/>
          <w:b/>
          <w:sz w:val="21"/>
        </w:rPr>
        <w:t>创建虚拟表</w:t>
      </w:r>
      <w:r>
        <w:rPr>
          <w:rFonts w:ascii="微软雅黑" w:hAnsi="微软雅黑"/>
          <w:sz w:val="21"/>
        </w:rPr>
        <w:t>，浏览源系统中可用的表，并选择要注册的单个表。除非您选择其他位置，否则这些将注册到来源的连接设置中配置的Foundry位置。</w:t>
      </w:r>
    </w:p>
    <w:p>
      <w:pPr>
        <w:spacing w:after="40"/>
        <w:jc w:val="center"/>
      </w:pPr>
      <w:r>
        <w:rPr>
          <w:i/>
          <w:color w:val="646464"/>
          <w:sz w:val="18"/>
        </w:rPr>
        <w:t>图：虚拟表手动注册</w:t>
      </w:r>
    </w:p>
    <w:p>
      <w:pPr>
        <w:spacing w:before="120" w:after="240"/>
        <w:jc w:val="center"/>
      </w:pPr>
      <w:r>
        <w:drawing>
          <wp:inline xmlns:a="http://schemas.openxmlformats.org/drawingml/2006/main" xmlns:pic="http://schemas.openxmlformats.org/drawingml/2006/picture">
            <wp:extent cx="4427549" cy="4114800"/>
            <wp:docPr id="64" name="Picture 64"/>
            <wp:cNvGraphicFramePr>
              <a:graphicFrameLocks noChangeAspect="1"/>
            </wp:cNvGraphicFramePr>
            <a:graphic>
              <a:graphicData uri="http://schemas.openxmlformats.org/drawingml/2006/picture">
                <pic:pic>
                  <pic:nvPicPr>
                    <pic:cNvPr id="0" name="virtual_tables_manual_reg.png"/>
                    <pic:cNvPicPr/>
                  </pic:nvPicPr>
                  <pic:blipFill>
                    <a:blip r:embed="rId71"/>
                    <a:stretch>
                      <a:fillRect/>
                    </a:stretch>
                  </pic:blipFill>
                  <pic:spPr>
                    <a:xfrm>
                      <a:off x="0" y="0"/>
                      <a:ext cx="4427549" cy="4114800"/>
                    </a:xfrm>
                    <a:prstGeom prst="rect"/>
                  </pic:spPr>
                </pic:pic>
              </a:graphicData>
            </a:graphic>
          </wp:inline>
        </w:drawing>
      </w:r>
    </w:p>
    <w:p>
      <w:pPr>
        <w:spacing w:line="360" w:lineRule="auto" w:after="120"/>
      </w:pPr>
      <w:r>
        <w:rPr>
          <w:rFonts w:ascii="微软雅黑" w:hAnsi="微软雅黑"/>
          <w:sz w:val="21"/>
        </w:rPr>
        <w:t>启用</w:t>
      </w:r>
      <w:r>
        <w:rPr>
          <w:rFonts w:ascii="微软雅黑" w:hAnsi="微软雅黑"/>
          <w:b/>
          <w:sz w:val="21"/>
        </w:rPr>
        <w:t>自动注册</w:t>
      </w:r>
      <w:r>
        <w:rPr>
          <w:rFonts w:ascii="微软雅黑" w:hAnsi="微软雅黑"/>
          <w:sz w:val="21"/>
        </w:rPr>
        <w:t>时，您将在Foundry中创建一个新的</w:t>
      </w:r>
      <w:r>
        <w:rPr>
          <w:rFonts w:ascii="微软雅黑" w:hAnsi="微软雅黑"/>
          <w:color w:val="0066CC"/>
          <w:sz w:val="21"/>
          <w:u w:val="single"/>
        </w:rPr>
        <w:t>项目</w:t>
      </w:r>
      <w:r>
        <w:rPr>
          <w:rFonts w:ascii="微软雅黑" w:hAnsi="微软雅黑"/>
          <w:sz w:val="21"/>
        </w:rPr>
        <w:t>，其中虚拟表将自动创建。此项目中的文件夹层次结构将反映源系统的结构，并在源中创建新表时定期更新。删除源表时，相关的虚拟表不会在项目中自动删除，但访问它们时不会加载任何数据。</w:t>
      </w:r>
    </w:p>
    <w:p>
      <w:pPr>
        <w:spacing w:line="360" w:lineRule="auto" w:after="120"/>
      </w:pPr>
      <w:r>
        <w:rPr>
          <w:rFonts w:ascii="微软雅黑" w:hAnsi="微软雅黑"/>
          <w:sz w:val="21"/>
        </w:rPr>
        <w:t>要启用自动注册，您必须在Foundry中拥有</w:t>
      </w:r>
      <w:r>
        <w:rPr>
          <w:rFonts w:ascii="微软雅黑" w:hAnsi="微软雅黑"/>
          <w:color w:val="0066CC"/>
          <w:sz w:val="21"/>
          <w:u w:val="single"/>
        </w:rPr>
        <w:t>项目创建权限</w:t>
      </w:r>
      <w:r>
        <w:rPr>
          <w:rFonts w:ascii="微软雅黑" w:hAnsi="微软雅黑"/>
          <w:sz w:val="21"/>
        </w:rPr>
        <w:t>。</w:t>
      </w:r>
    </w:p>
    <w:p>
      <w:pPr>
        <w:spacing w:after="40"/>
        <w:jc w:val="center"/>
      </w:pPr>
      <w:r>
        <w:rPr>
          <w:i/>
          <w:color w:val="646464"/>
          <w:sz w:val="18"/>
        </w:rPr>
        <w:t>图：虚拟表自动注册屏幕</w:t>
      </w:r>
    </w:p>
    <w:p>
      <w:pPr>
        <w:spacing w:before="120" w:after="240"/>
        <w:jc w:val="center"/>
      </w:pPr>
      <w:r>
        <w:drawing>
          <wp:inline xmlns:a="http://schemas.openxmlformats.org/drawingml/2006/main" xmlns:pic="http://schemas.openxmlformats.org/drawingml/2006/picture">
            <wp:extent cx="4020142" cy="4114800"/>
            <wp:docPr id="65" name="Picture 65"/>
            <wp:cNvGraphicFramePr>
              <a:graphicFrameLocks noChangeAspect="1"/>
            </wp:cNvGraphicFramePr>
            <a:graphic>
              <a:graphicData uri="http://schemas.openxmlformats.org/drawingml/2006/picture">
                <pic:pic>
                  <pic:nvPicPr>
                    <pic:cNvPr id="0" name="virtual_tables_auto_reg.png"/>
                    <pic:cNvPicPr/>
                  </pic:nvPicPr>
                  <pic:blipFill>
                    <a:blip r:embed="rId72"/>
                    <a:stretch>
                      <a:fillRect/>
                    </a:stretch>
                  </pic:blipFill>
                  <pic:spPr>
                    <a:xfrm>
                      <a:off x="0" y="0"/>
                      <a:ext cx="4020142" cy="4114800"/>
                    </a:xfrm>
                    <a:prstGeom prst="rect"/>
                  </pic:spPr>
                </pic:pic>
              </a:graphicData>
            </a:graphic>
          </wp:inline>
        </w:drawing>
      </w:r>
    </w:p>
    <w:p>
      <w:pPr>
        <w:spacing w:line="360" w:lineRule="auto" w:after="120"/>
      </w:pPr>
      <w:r>
        <w:rPr>
          <w:rFonts w:ascii="微软雅黑" w:hAnsi="微软雅黑"/>
          <w:sz w:val="21"/>
        </w:rPr>
        <w:t>该项目由Foundry管理，用户无法在其中手动创建或更新资源。在此项目中注册的虚拟表可以导入其他项目中以用于工作流开发。</w:t>
      </w:r>
    </w:p>
    <w:p>
      <w:pPr>
        <w:spacing w:line="360" w:lineRule="auto" w:after="120"/>
      </w:pPr>
      <w:r>
        <w:rPr>
          <w:rFonts w:ascii="微软雅黑" w:hAnsi="微软雅黑"/>
          <w:sz w:val="21"/>
        </w:rPr>
        <w:t>启用自动注册可以设置项目的权限和访问权限，之后可以由项目所有者通过访问侧栏进行管理。</w:t>
      </w:r>
    </w:p>
    <w:p>
      <w:pPr>
        <w:spacing w:after="40"/>
        <w:jc w:val="center"/>
      </w:pPr>
      <w:r>
        <w:rPr>
          <w:i/>
          <w:color w:val="646464"/>
          <w:sz w:val="18"/>
        </w:rPr>
        <w:t>图：显示虚拟表项目的资源截图</w:t>
      </w:r>
    </w:p>
    <w:p>
      <w:pPr>
        <w:spacing w:before="120" w:after="240"/>
        <w:jc w:val="center"/>
      </w:pPr>
      <w:r>
        <w:drawing>
          <wp:inline xmlns:a="http://schemas.openxmlformats.org/drawingml/2006/main" xmlns:pic="http://schemas.openxmlformats.org/drawingml/2006/picture">
            <wp:extent cx="5029200" cy="1773252"/>
            <wp:docPr id="66" name="Picture 66"/>
            <wp:cNvGraphicFramePr>
              <a:graphicFrameLocks noChangeAspect="1"/>
            </wp:cNvGraphicFramePr>
            <a:graphic>
              <a:graphicData uri="http://schemas.openxmlformats.org/drawingml/2006/picture">
                <pic:pic>
                  <pic:nvPicPr>
                    <pic:cNvPr id="0" name="virtual_tables_project.png"/>
                    <pic:cNvPicPr/>
                  </pic:nvPicPr>
                  <pic:blipFill>
                    <a:blip r:embed="rId73"/>
                    <a:stretch>
                      <a:fillRect/>
                    </a:stretch>
                  </pic:blipFill>
                  <pic:spPr>
                    <a:xfrm>
                      <a:off x="0" y="0"/>
                      <a:ext cx="5029200" cy="1773252"/>
                    </a:xfrm>
                    <a:prstGeom prst="rect"/>
                  </pic:spPr>
                </pic:pic>
              </a:graphicData>
            </a:graphic>
          </wp:inline>
        </w:drawing>
      </w:r>
    </w:p>
    <w:p>
      <w:pPr>
        <w:pStyle w:val="Heading3"/>
      </w:pPr>
      <w:r>
        <w:rPr>
          <w:rFonts w:ascii="微软雅黑" w:hAnsi="微软雅黑"/>
        </w:rPr>
        <w:t>代码库中的虚拟表</w:t>
      </w:r>
    </w:p>
    <w:p>
      <w:pPr>
        <w:spacing w:line="360" w:lineRule="auto" w:after="120"/>
      </w:pPr>
      <w:r>
        <w:rPr>
          <w:rFonts w:ascii="微软雅黑" w:hAnsi="微软雅黑"/>
          <w:sz w:val="21"/>
        </w:rPr>
        <w:t>当虚拟表在代码库中使用时，消耗它们的变换将自动根据来源上配置的</w:t>
      </w:r>
      <w:r>
        <w:rPr>
          <w:rFonts w:ascii="微软雅黑" w:hAnsi="微软雅黑"/>
          <w:color w:val="0066CC"/>
          <w:sz w:val="21"/>
          <w:u w:val="single"/>
        </w:rPr>
        <w:t>出口策略</w:t>
      </w:r>
      <w:r>
        <w:rPr>
          <w:rFonts w:ascii="微软雅黑" w:hAnsi="微软雅黑"/>
          <w:sz w:val="21"/>
        </w:rPr>
        <w:t>获得网络出口。配置在来源上的凭据将必要地用于连接到来源。这与</w:t>
      </w:r>
      <w:r>
        <w:rPr>
          <w:rFonts w:ascii="微软雅黑" w:hAnsi="微软雅黑"/>
          <w:color w:val="0066CC"/>
          <w:sz w:val="21"/>
          <w:u w:val="single"/>
        </w:rPr>
        <w:t>外部变换</w:t>
      </w:r>
      <w:r>
        <w:rPr>
          <w:rFonts w:ascii="微软雅黑" w:hAnsi="微软雅黑"/>
          <w:sz w:val="21"/>
        </w:rPr>
        <w:t>的行为类似。</w:t>
      </w:r>
    </w:p>
    <w:p>
      <w:pPr>
        <w:spacing w:line="360" w:lineRule="auto" w:after="120"/>
      </w:pPr>
      <w:r>
        <w:rPr>
          <w:rFonts w:ascii="微软雅黑" w:hAnsi="微软雅黑"/>
          <w:sz w:val="21"/>
        </w:rPr>
        <w:t>来源上必须启用以下设置：</w:t>
      </w:r>
    </w:p>
    <w:p>
      <w:pPr>
        <w:pStyle w:val="ListNumber"/>
        <w:spacing w:line="360" w:lineRule="auto" w:after="120"/>
      </w:pPr>
      <w:r>
        <w:rPr>
          <w:rFonts w:ascii="微软雅黑" w:hAnsi="微软雅黑"/>
          <w:b/>
          <w:sz w:val="21"/>
        </w:rPr>
        <w:t>代码导入</w:t>
      </w:r>
      <w:r>
        <w:rPr>
          <w:rFonts w:ascii="微软雅黑" w:hAnsi="微软雅黑"/>
          <w:sz w:val="21"/>
        </w:rPr>
        <w:t>：这允许来源被导入并在代码库中使用。有关此设置及如何启用的更多详细信息，请参见</w:t>
      </w:r>
      <w:r>
        <w:rPr>
          <w:rFonts w:ascii="微软雅黑" w:hAnsi="微软雅黑"/>
          <w:color w:val="0066CC"/>
          <w:sz w:val="21"/>
          <w:u w:val="single"/>
        </w:rPr>
        <w:t>此处</w:t>
      </w:r>
      <w:r>
        <w:rPr>
          <w:rFonts w:ascii="微软雅黑" w:hAnsi="微软雅黑"/>
          <w:sz w:val="21"/>
        </w:rPr>
        <w:t>。</w:t>
      </w:r>
    </w:p>
    <w:p>
      <w:pPr>
        <w:pStyle w:val="ListNumber"/>
        <w:spacing w:line="360" w:lineRule="auto" w:after="120"/>
      </w:pPr>
      <w:r>
        <w:rPr>
          <w:rFonts w:ascii="微软雅黑" w:hAnsi="微软雅黑"/>
          <w:b/>
          <w:sz w:val="21"/>
        </w:rPr>
        <w:t>导出控制</w:t>
      </w:r>
      <w:r>
        <w:rPr>
          <w:rFonts w:ascii="微软雅黑" w:hAnsi="微软雅黑"/>
          <w:sz w:val="21"/>
        </w:rPr>
        <w:t>：这控制哪些</w:t>
      </w:r>
      <w:r>
        <w:rPr>
          <w:rFonts w:ascii="微软雅黑" w:hAnsi="微软雅黑"/>
          <w:color w:val="0066CC"/>
          <w:sz w:val="21"/>
          <w:u w:val="single"/>
        </w:rPr>
        <w:t>权限标记</w:t>
      </w:r>
      <w:r>
        <w:rPr>
          <w:rFonts w:ascii="微软雅黑" w:hAnsi="微软雅黑"/>
          <w:sz w:val="21"/>
        </w:rPr>
        <w:t>和组织将被允许作为Python变换中使用虚拟表的输入。有关此设置及如何启用的更多详细信息，请参见</w:t>
      </w:r>
      <w:r>
        <w:rPr>
          <w:rFonts w:ascii="微软雅黑" w:hAnsi="微软雅黑"/>
          <w:color w:val="0066CC"/>
          <w:sz w:val="21"/>
          <w:u w:val="single"/>
        </w:rPr>
        <w:t>此处</w:t>
      </w:r>
      <w:r>
        <w:rPr>
          <w:rFonts w:ascii="微软雅黑" w:hAnsi="微软雅黑"/>
          <w:sz w:val="21"/>
        </w:rPr>
        <w:t>。</w:t>
      </w:r>
    </w:p>
    <w:p>
      <w:pPr>
        <w:spacing w:line="360" w:lineRule="auto" w:after="120"/>
      </w:pPr>
      <w:r>
        <w:rPr>
          <w:rFonts w:ascii="微软雅黑" w:hAnsi="微软雅黑"/>
          <w:sz w:val="21"/>
        </w:rPr>
        <w:t>一旦来源已配置并导入到代码库中，虚拟表可以作为</w:t>
      </w:r>
      <w:r>
        <w:rPr>
          <w:rFonts w:ascii="微软雅黑" w:hAnsi="微软雅黑"/>
          <w:color w:val="0066CC"/>
          <w:sz w:val="21"/>
          <w:u w:val="single"/>
        </w:rPr>
        <w:t>Python变换</w:t>
      </w:r>
      <w:r>
        <w:rPr>
          <w:rFonts w:ascii="微软雅黑" w:hAnsi="微软雅黑"/>
          <w:sz w:val="21"/>
        </w:rPr>
        <w:t>的输入使用，与数据集的使用方式相同，使用</w:t>
      </w:r>
      <w:r>
        <w:rPr>
          <w:rFonts w:ascii="Consolas" w:hAnsi="Consolas"/>
          <w:color w:val="B43C3C"/>
          <w:sz w:val="18"/>
        </w:rPr>
        <w:t>transforms.api.Input</w:t>
      </w:r>
      <w:r>
        <w:rPr>
          <w:rFonts w:ascii="微软雅黑" w:hAnsi="微软雅黑"/>
          <w:sz w:val="21"/>
        </w:rPr>
        <w:t>。</w:t>
      </w:r>
      <w:r>
        <w:rPr>
          <w:rFonts w:ascii="微软雅黑" w:hAnsi="微软雅黑"/>
          <w:color w:val="0066CC"/>
          <w:sz w:val="21"/>
          <w:u w:val="single"/>
        </w:rPr>
        <w:t>增量计算</w:t>
      </w:r>
      <w:r>
        <w:rPr>
          <w:rFonts w:ascii="微软雅黑" w:hAnsi="微软雅黑"/>
          <w:sz w:val="21"/>
        </w:rPr>
        <w:t>具有与数据集一致的API，并由部分来源支持。有关更多信息，请参阅</w:t>
      </w:r>
      <w:r>
        <w:rPr>
          <w:rFonts w:ascii="微软雅黑" w:hAnsi="微软雅黑"/>
          <w:color w:val="0066CC"/>
          <w:sz w:val="21"/>
          <w:u w:val="single"/>
        </w:rPr>
        <w:t>来源特定文档</w:t>
      </w:r>
      <w:r>
        <w:rPr>
          <w:rFonts w:ascii="微软雅黑" w:hAnsi="微软雅黑"/>
          <w:sz w:val="21"/>
        </w:rPr>
        <w:t>。</w:t>
      </w:r>
    </w:p>
    <w:p>
      <w:pPr>
        <w:pStyle w:val="Heading2"/>
      </w:pPr>
      <w:r>
        <w:rPr>
          <w:rFonts w:ascii="微软雅黑" w:hAnsi="微软雅黑"/>
        </w:rPr>
        <w:t>使用虚拟表与同步到数据集</w:t>
      </w:r>
    </w:p>
    <w:p>
      <w:pPr>
        <w:spacing w:line="360" w:lineRule="auto" w:after="120"/>
      </w:pPr>
      <w:r>
        <w:rPr>
          <w:rFonts w:ascii="微软雅黑" w:hAnsi="微软雅黑"/>
          <w:sz w:val="21"/>
        </w:rPr>
        <w:t>使用虚拟表还是同步到Foundry数据集的决定取决于您的架构目标和要支持的目标工作流。我们建议在工作流的基础上考虑适当的集成模式。这两种方法可以结合使用，以相辅相成。</w:t>
      </w:r>
    </w:p>
    <w:p>
      <w:pPr>
        <w:spacing w:line="360" w:lineRule="auto" w:after="120"/>
      </w:pPr>
      <w:r>
        <w:rPr>
          <w:rFonts w:ascii="微软雅黑" w:hAnsi="微软雅黑"/>
          <w:sz w:val="21"/>
        </w:rPr>
        <w:t>以下是关于使用虚拟表与同步数据到数据集的一些潜在好处、缺点和限制的考虑。</w:t>
      </w:r>
    </w:p>
    <w:p>
      <w:pPr>
        <w:pStyle w:val="Heading3"/>
      </w:pPr>
      <w:r>
        <w:rPr>
          <w:rFonts w:ascii="微软雅黑" w:hAnsi="微软雅黑"/>
        </w:rPr>
        <w:t>使用虚拟表的好处</w:t>
      </w:r>
    </w:p>
    <w:p>
      <w:pPr>
        <w:spacing w:line="360" w:lineRule="auto" w:after="120"/>
      </w:pPr>
      <w:r>
        <w:rPr>
          <w:rFonts w:ascii="微软雅黑" w:hAnsi="微软雅黑"/>
          <w:sz w:val="21"/>
        </w:rPr>
        <w:t>虚拟表提供了许多好处，包括：</w:t>
      </w:r>
    </w:p>
    <w:p>
      <w:pPr>
        <w:pStyle w:val="ListBullet"/>
        <w:spacing w:line="360" w:lineRule="auto" w:after="120"/>
      </w:pPr>
      <w:r>
        <w:rPr>
          <w:rFonts w:ascii="微软雅黑" w:hAnsi="微软雅黑"/>
          <w:sz w:val="21"/>
        </w:rPr>
        <w:t>通过不在Foundry中存储源数据来减少重复存储。请注意，Foundry仍将存储所有下游创建的资源的数据，例如从Foundry管道输出的数据集和Object。</w:t>
      </w:r>
    </w:p>
    <w:p>
      <w:pPr>
        <w:pStyle w:val="ListBullet"/>
        <w:spacing w:line="360" w:lineRule="auto" w:after="120"/>
      </w:pPr>
      <w:r>
        <w:rPr>
          <w:rFonts w:ascii="微软雅黑" w:hAnsi="微软雅黑"/>
          <w:sz w:val="21"/>
        </w:rPr>
        <w:t>查询可以下推到源系统以限制总数据传输。请注意，下推计算的可用性因源系统和查询类型而异。</w:t>
      </w:r>
    </w:p>
    <w:p>
      <w:pPr>
        <w:pStyle w:val="ListBullet"/>
        <w:spacing w:line="360" w:lineRule="auto" w:after="120"/>
      </w:pPr>
      <w:r>
        <w:rPr>
          <w:rFonts w:ascii="微软雅黑" w:hAnsi="微软雅黑"/>
          <w:sz w:val="21"/>
        </w:rPr>
        <w:t>对于非常大的表，虚拟表可能尤其有益，因为重复存储成本变得显著。</w:t>
      </w:r>
    </w:p>
    <w:p>
      <w:pPr>
        <w:pStyle w:val="ListBullet"/>
        <w:spacing w:line="360" w:lineRule="auto" w:after="120"/>
      </w:pPr>
      <w:r>
        <w:rPr>
          <w:rFonts w:ascii="微软雅黑" w:hAnsi="微软雅黑"/>
          <w:sz w:val="21"/>
        </w:rPr>
        <w:t>使用虚拟表，数据在使用时直接查询，无需同步数据或考虑数据陈旧的可能性。</w:t>
      </w:r>
    </w:p>
    <w:p>
      <w:pPr>
        <w:pStyle w:val="ListBullet"/>
        <w:spacing w:line="360" w:lineRule="auto" w:after="120"/>
      </w:pPr>
      <w:r>
        <w:rPr>
          <w:rFonts w:ascii="微软雅黑" w:hAnsi="微软雅黑"/>
          <w:sz w:val="21"/>
        </w:rPr>
        <w:t>虚拟表提供可选性，有助于将Foundry实施与目标架构模式对齐。</w:t>
      </w:r>
    </w:p>
    <w:p>
      <w:pPr>
        <w:pStyle w:val="Heading3"/>
      </w:pPr>
      <w:r>
        <w:rPr>
          <w:rFonts w:ascii="微软雅黑" w:hAnsi="微软雅黑"/>
        </w:rPr>
        <w:t>使用虚拟表的缺点</w:t>
      </w:r>
    </w:p>
    <w:p>
      <w:pPr>
        <w:spacing w:line="360" w:lineRule="auto" w:after="120"/>
      </w:pPr>
      <w:r>
        <w:rPr>
          <w:rFonts w:ascii="微软雅黑" w:hAnsi="微软雅黑"/>
          <w:sz w:val="21"/>
        </w:rPr>
        <w:t>虚拟表可能并不是在所有情况下的最佳选择。一些考虑因素包括：</w:t>
      </w:r>
    </w:p>
    <w:p>
      <w:pPr>
        <w:pStyle w:val="ListBullet"/>
        <w:spacing w:line="360" w:lineRule="auto" w:after="120"/>
      </w:pPr>
      <w:r>
        <w:rPr>
          <w:rFonts w:ascii="微软雅黑" w:hAnsi="微软雅黑"/>
          <w:sz w:val="21"/>
        </w:rPr>
        <w:t>交互性能可能比使用存储在Foundry数据集中的数据要慢。</w:t>
      </w:r>
    </w:p>
    <w:p>
      <w:pPr>
        <w:pStyle w:val="ListBullet"/>
        <w:spacing w:line="360" w:lineRule="auto" w:after="120"/>
      </w:pPr>
      <w:r>
        <w:rPr>
          <w:rFonts w:ascii="微软雅黑" w:hAnsi="微软雅黑"/>
          <w:sz w:val="21"/>
        </w:rPr>
        <w:t>计算使用量可能会增加，具体取决于在虚拟表上运行的查询类型。例如，用作计划管道输入的表可能会生成有限的计算，而在Contour分析中频繁交互访问的表可能会产生较高的计算量。</w:t>
      </w:r>
    </w:p>
    <w:p>
      <w:pPr>
        <w:pStyle w:val="ListBullet"/>
        <w:spacing w:line="360" w:lineRule="auto" w:after="120"/>
      </w:pPr>
      <w:r>
        <w:rPr>
          <w:rFonts w:ascii="微软雅黑" w:hAnsi="微软雅黑"/>
          <w:sz w:val="21"/>
        </w:rPr>
        <w:t>虚拟表无法从Foundry数据集功能中受益，例如数据集版本控制或分支。</w:t>
      </w:r>
    </w:p>
    <w:p>
      <w:pPr>
        <w:pStyle w:val="Heading3"/>
      </w:pPr>
      <w:r>
        <w:rPr>
          <w:rFonts w:ascii="微软雅黑" w:hAnsi="微软雅黑"/>
        </w:rPr>
        <w:t>使用虚拟表的限制</w:t>
      </w:r>
    </w:p>
    <w:p>
      <w:pPr>
        <w:spacing w:line="360" w:lineRule="auto" w:after="120"/>
      </w:pPr>
      <w:r>
        <w:rPr>
          <w:rFonts w:ascii="微软雅黑" w:hAnsi="微软雅黑"/>
          <w:sz w:val="21"/>
        </w:rPr>
        <w:t>虚拟表的限制包括：</w:t>
      </w:r>
    </w:p>
    <w:p>
      <w:pPr>
        <w:pStyle w:val="ListBullet"/>
        <w:spacing w:line="360" w:lineRule="auto" w:after="120"/>
      </w:pPr>
      <w:r>
        <w:rPr>
          <w:rFonts w:ascii="微软雅黑" w:hAnsi="微软雅黑"/>
          <w:sz w:val="21"/>
        </w:rPr>
        <w:t>并非所有来源都提供虚拟表。</w:t>
      </w:r>
    </w:p>
    <w:p>
      <w:pPr>
        <w:pStyle w:val="ListBullet"/>
        <w:spacing w:line="360" w:lineRule="auto" w:after="120"/>
      </w:pPr>
      <w:r>
        <w:rPr>
          <w:rFonts w:ascii="微软雅黑" w:hAnsi="微软雅黑"/>
          <w:sz w:val="21"/>
        </w:rPr>
        <w:t>虚拟表需要与源进行</w:t>
      </w:r>
      <w:r>
        <w:rPr>
          <w:rFonts w:ascii="微软雅黑" w:hAnsi="微软雅黑"/>
          <w:color w:val="0066CC"/>
          <w:sz w:val="21"/>
          <w:u w:val="single"/>
        </w:rPr>
        <w:t>直接连接</w:t>
      </w:r>
      <w:r>
        <w:rPr>
          <w:rFonts w:ascii="微软雅黑" w:hAnsi="微软雅黑"/>
          <w:sz w:val="21"/>
        </w:rPr>
        <w:t>。使用</w:t>
      </w:r>
      <w:r>
        <w:rPr>
          <w:rFonts w:ascii="微软雅黑" w:hAnsi="微软雅黑"/>
          <w:color w:val="0066CC"/>
          <w:sz w:val="21"/>
          <w:u w:val="single"/>
        </w:rPr>
        <w:t>代理</w:t>
      </w:r>
      <w:r>
        <w:rPr>
          <w:rFonts w:ascii="微软雅黑" w:hAnsi="微软雅黑"/>
          <w:sz w:val="21"/>
        </w:rPr>
        <w:t>的连接不支持。</w:t>
      </w:r>
    </w:p>
    <w:p>
      <w:pPr>
        <w:pStyle w:val="ListBullet"/>
        <w:spacing w:line="360" w:lineRule="auto" w:after="120"/>
      </w:pPr>
      <w:r>
        <w:rPr>
          <w:rFonts w:ascii="微软雅黑" w:hAnsi="微软雅黑"/>
          <w:sz w:val="21"/>
        </w:rPr>
        <w:t>并非所有Foundry应用程序和功能都支持使用虚拟表作为输入。然而，任何虚拟表下游创建的物化资源，如从管道输出的数据集和Object，均在Foundry生态系统中得到全面支持。</w:t>
      </w:r>
    </w:p>
    <w:p>
      <w:pPr>
        <w:pStyle w:val="Heading2"/>
      </w:pPr>
      <w:r>
        <w:rPr>
          <w:rFonts w:ascii="微软雅黑" w:hAnsi="微软雅黑"/>
        </w:rPr>
        <w:t>虚拟表查询的计算</w:t>
      </w:r>
    </w:p>
    <w:p>
      <w:pPr>
        <w:spacing w:line="360" w:lineRule="auto" w:after="120"/>
      </w:pPr>
      <w:r>
        <w:rPr>
          <w:rFonts w:ascii="微软雅黑" w:hAnsi="微软雅黑"/>
          <w:sz w:val="21"/>
        </w:rPr>
        <w:t>对于直接在虚拟表上运行的查询，计算可能在Foundry和源系统之间分配。具体行为取决于查询以及源系统支持的下推计算程度。有关更多信息，请参阅</w:t>
      </w:r>
      <w:r>
        <w:rPr>
          <w:rFonts w:ascii="微软雅黑" w:hAnsi="微软雅黑"/>
          <w:color w:val="0066CC"/>
          <w:sz w:val="21"/>
          <w:u w:val="single"/>
        </w:rPr>
        <w:t>来源特定文档</w:t>
      </w:r>
      <w:r>
        <w:rPr>
          <w:rFonts w:ascii="微软雅黑" w:hAnsi="微软雅黑"/>
          <w:sz w:val="21"/>
        </w:rPr>
        <w: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gif"/><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gif"/><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