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data-lineage</w:t>
      </w:r>
    </w:p>
    <w:p>
      <w:pPr>
        <w:jc w:val="center"/>
      </w:pPr>
      <w:r>
        <w:rPr>
          <w:rFonts w:ascii="微软雅黑" w:hAnsi="微软雅黑"/>
          <w:color w:val="505050"/>
          <w:sz w:val="48"/>
        </w:rPr>
        <w:t>Data Lineage</w:t>
      </w:r>
    </w:p>
    <w:p/>
    <w:p/>
    <w:p>
      <w:pPr>
        <w:jc w:val="center"/>
      </w:pPr>
      <w:r>
        <w:rPr>
          <w:rFonts w:ascii="微软雅黑" w:hAnsi="微软雅黑"/>
          <w:color w:val="646464"/>
          <w:sz w:val="28"/>
        </w:rPr>
        <w:t>Palantir Foundry Data Lineage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搭建数据集</w:t>
      </w:r>
    </w:p>
    <w:p>
      <w:pPr>
        <w:spacing w:after="80"/>
      </w:pPr>
      <w:r>
        <w:rPr>
          <w:rFonts w:ascii="微软雅黑" w:hAnsi="微软雅黑"/>
          <w:sz w:val="22"/>
        </w:rPr>
        <w:t>查看搭建时间线</w:t>
      </w:r>
    </w:p>
    <w:p>
      <w:pPr>
        <w:spacing w:after="80"/>
      </w:pPr>
      <w:r>
        <w:rPr>
          <w:rFonts w:ascii="微软雅黑" w:hAnsi="微软雅黑"/>
          <w:sz w:val="22"/>
        </w:rPr>
        <w:t>检查资源权限</w:t>
      </w:r>
    </w:p>
    <w:p>
      <w:pPr>
        <w:spacing w:after="80"/>
      </w:pPr>
      <w:r>
        <w:rPr>
          <w:rFonts w:ascii="微软雅黑" w:hAnsi="微软雅黑"/>
          <w:sz w:val="22"/>
        </w:rPr>
        <w:t>预览和逻辑</w:t>
      </w:r>
    </w:p>
    <w:p>
      <w:pPr>
        <w:spacing w:after="80"/>
      </w:pPr>
      <w:r>
        <w:rPr>
          <w:rFonts w:ascii="微软雅黑" w:hAnsi="微软雅黑"/>
          <w:sz w:val="22"/>
        </w:rPr>
        <w:t>图元素参考</w:t>
      </w:r>
    </w:p>
    <w:p>
      <w:pPr>
        <w:spacing w:after="80"/>
      </w:pPr>
      <w:r>
        <w:rPr>
          <w:rFonts w:ascii="微软雅黑" w:hAnsi="微软雅黑"/>
          <w:sz w:val="22"/>
        </w:rPr>
        <w:t>探索工件和Ontology实体</w:t>
      </w:r>
    </w:p>
    <w:p>
      <w:pPr>
        <w:spacing w:after="80"/>
      </w:pPr>
      <w:r>
        <w:rPr>
          <w:rFonts w:ascii="微软雅黑" w:hAnsi="微软雅黑"/>
          <w:sz w:val="22"/>
        </w:rPr>
        <w:t>探索数据沿袭</w:t>
      </w:r>
    </w:p>
    <w:p>
      <w:pPr>
        <w:spacing w:after="80"/>
      </w:pPr>
      <w:r>
        <w:rPr>
          <w:rFonts w:ascii="微软雅黑" w:hAnsi="微软雅黑"/>
          <w:sz w:val="22"/>
        </w:rPr>
        <w:t>数据沿袭问题</w:t>
      </w:r>
    </w:p>
    <w:p>
      <w:pPr>
        <w:spacing w:after="80"/>
      </w:pPr>
      <w:r>
        <w:rPr>
          <w:rFonts w:ascii="微软雅黑" w:hAnsi="微软雅黑"/>
          <w:sz w:val="22"/>
        </w:rPr>
        <w:t>查找具有指定列的数据集</w:t>
      </w:r>
    </w:p>
    <w:p>
      <w:pPr>
        <w:spacing w:after="80"/>
      </w:pPr>
      <w:r>
        <w:rPr>
          <w:rFonts w:ascii="微软雅黑" w:hAnsi="微软雅黑"/>
          <w:sz w:val="22"/>
        </w:rPr>
        <w:t>管理计划</w:t>
      </w:r>
    </w:p>
    <w:p>
      <w:pPr>
        <w:spacing w:after="80"/>
      </w:pPr>
      <w:r>
        <w:rPr>
          <w:rFonts w:ascii="微软雅黑" w:hAnsi="微软雅黑"/>
          <w:sz w:val="22"/>
        </w:rPr>
        <w:t>导航</w:t>
      </w:r>
    </w:p>
    <w:p>
      <w:pPr>
        <w:spacing w:after="80"/>
      </w:pPr>
      <w:r>
        <w:rPr>
          <w:rFonts w:ascii="微软雅黑" w:hAnsi="微软雅黑"/>
          <w:sz w:val="22"/>
        </w:rPr>
        <w:t>节点着色</w:t>
      </w:r>
    </w:p>
    <w:p>
      <w:pPr>
        <w:spacing w:after="80"/>
      </w:pPr>
      <w:r>
        <w:rPr>
          <w:rFonts w:ascii="微软雅黑" w:hAnsi="微软雅黑"/>
          <w:sz w:val="22"/>
        </w:rPr>
        <w:t>保存和分享图表</w:t>
      </w:r>
    </w:p>
    <w:p>
      <w:pPr>
        <w:spacing w:after="80"/>
      </w:pPr>
      <w:r>
        <w:rPr>
          <w:rFonts w:ascii="微软雅黑" w:hAnsi="微软雅黑"/>
          <w:sz w:val="22"/>
        </w:rPr>
        <w:t>查看权限标记更改的影响</w:t>
      </w:r>
    </w:p>
    <w:p>
      <w:pPr>
        <w:spacing w:after="80"/>
      </w:pPr>
      <w:r>
        <w:rPr>
          <w:rFonts w:ascii="微软雅黑" w:hAnsi="微软雅黑"/>
          <w:sz w:val="22"/>
        </w:rPr>
        <w:t>了解过时的数据集</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数据沿袭</w:t>
      </w:r>
      <w:r>
        <w:rPr>
          <w:rFonts w:ascii="微软雅黑" w:hAnsi="微软雅黑"/>
        </w:rPr>
        <w:t>：是一个交互式工具，帮助全面查看数据如何在Foundry平台中流动。</w:t>
      </w:r>
    </w:p>
    <w:p>
      <w:pPr>
        <w:spacing w:after="40"/>
        <w:jc w:val="center"/>
      </w:pPr>
      <w:r>
        <w:rPr>
          <w:i/>
          <w:color w:val="646464"/>
          <w:sz w:val="18"/>
        </w:rPr>
        <w:t>图：Data Lineage流动动画</w:t>
      </w:r>
    </w:p>
    <w:p>
      <w:pPr>
        <w:spacing w:before="120" w:after="240"/>
        <w:jc w:val="center"/>
      </w:pPr>
      <w:r>
        <w:drawing>
          <wp:inline xmlns:a="http://schemas.openxmlformats.org/drawingml/2006/main" xmlns:pic="http://schemas.openxmlformats.org/drawingml/2006/picture">
            <wp:extent cx="5029200" cy="2615831"/>
            <wp:docPr id="1" name="Picture 1"/>
            <wp:cNvGraphicFramePr>
              <a:graphicFrameLocks noChangeAspect="1"/>
            </wp:cNvGraphicFramePr>
            <a:graphic>
              <a:graphicData uri="http://schemas.openxmlformats.org/drawingml/2006/picture">
                <pic:pic>
                  <pic:nvPicPr>
                    <pic:cNvPr id="0" name="data-lineage-flow.gif"/>
                    <pic:cNvPicPr/>
                  </pic:nvPicPr>
                  <pic:blipFill>
                    <a:blip r:embed="rId9"/>
                    <a:stretch>
                      <a:fillRect/>
                    </a:stretch>
                  </pic:blipFill>
                  <pic:spPr>
                    <a:xfrm>
                      <a:off x="0" y="0"/>
                      <a:ext cx="5029200" cy="2615831"/>
                    </a:xfrm>
                    <a:prstGeom prst="rect"/>
                  </pic:spPr>
                </pic:pic>
              </a:graphicData>
            </a:graphic>
          </wp:inline>
        </w:drawing>
      </w:r>
    </w:p>
    <w:p>
      <w:pPr>
        <w:spacing w:line="360" w:lineRule="auto" w:after="120"/>
      </w:pPr>
      <w:r>
        <w:rPr>
          <w:rFonts w:ascii="微软雅黑" w:hAnsi="微软雅黑"/>
          <w:sz w:val="21"/>
        </w:rPr>
        <w:t>使用数据沿袭，您可以：</w:t>
      </w:r>
    </w:p>
    <w:p>
      <w:pPr>
        <w:pStyle w:val="ListBullet"/>
        <w:spacing w:line="360" w:lineRule="auto" w:after="120"/>
      </w:pPr>
      <w:r>
        <w:rPr>
          <w:rFonts w:ascii="微软雅黑" w:hAnsi="微软雅黑"/>
          <w:sz w:val="21"/>
        </w:rPr>
        <w:t>轻松查找和发现数据集</w:t>
      </w:r>
    </w:p>
    <w:p>
      <w:pPr>
        <w:pStyle w:val="ListBullet"/>
        <w:spacing w:line="360" w:lineRule="auto" w:after="120"/>
      </w:pPr>
      <w:r>
        <w:rPr>
          <w:rFonts w:ascii="微软雅黑" w:hAnsi="微软雅黑"/>
          <w:sz w:val="21"/>
        </w:rPr>
        <w:t>使用项目、表和列名称搜索数据集</w:t>
      </w:r>
    </w:p>
    <w:p>
      <w:pPr>
        <w:pStyle w:val="ListBullet"/>
        <w:spacing w:line="360" w:lineRule="auto" w:after="120"/>
      </w:pPr>
      <w:r>
        <w:rPr>
          <w:rFonts w:ascii="微软雅黑" w:hAnsi="微软雅黑"/>
          <w:sz w:val="21"/>
        </w:rPr>
        <w:t>点击浏览Foundry项目中的数据</w:t>
      </w:r>
    </w:p>
    <w:p>
      <w:pPr>
        <w:pStyle w:val="ListBullet"/>
        <w:spacing w:line="360" w:lineRule="auto" w:after="120"/>
      </w:pPr>
      <w:r>
        <w:rPr>
          <w:rFonts w:ascii="微软雅黑" w:hAnsi="微软雅黑"/>
          <w:sz w:val="21"/>
        </w:rPr>
        <w:t>通过强大的界面探索</w:t>
      </w:r>
      <w:r>
        <w:rPr>
          <w:rFonts w:ascii="微软雅黑" w:hAnsi="微软雅黑"/>
          <w:color w:val="0066CC"/>
          <w:sz w:val="21"/>
          <w:u w:val="single"/>
        </w:rPr>
        <w:t>管道</w:t>
      </w:r>
    </w:p>
    <w:p>
      <w:pPr>
        <w:pStyle w:val="ListBullet"/>
        <w:spacing w:line="360" w:lineRule="auto" w:after="120"/>
      </w:pPr>
      <w:r>
        <w:rPr>
          <w:rFonts w:ascii="微软雅黑" w:hAnsi="微软雅黑"/>
          <w:sz w:val="21"/>
        </w:rPr>
        <w:t>展开或隐藏数据集的祖先和后代</w:t>
      </w:r>
    </w:p>
    <w:p>
      <w:pPr>
        <w:pStyle w:val="ListBullet"/>
        <w:spacing w:line="360" w:lineRule="auto" w:after="120"/>
      </w:pPr>
      <w:r>
        <w:rPr>
          <w:rFonts w:ascii="微软雅黑" w:hAnsi="微软雅黑"/>
          <w:sz w:val="21"/>
        </w:rPr>
        <w:t>同时查看一组表的属性</w:t>
      </w:r>
    </w:p>
    <w:p>
      <w:pPr>
        <w:pStyle w:val="ListBullet"/>
        <w:spacing w:line="360" w:lineRule="auto" w:after="120"/>
      </w:pPr>
      <w:r>
        <w:rPr>
          <w:rFonts w:ascii="微软雅黑" w:hAnsi="微软雅黑"/>
          <w:sz w:val="21"/>
        </w:rPr>
        <w:t>通过着色可视化您的管道（例如，对过期的表进行着色）</w:t>
      </w:r>
    </w:p>
    <w:p>
      <w:pPr>
        <w:pStyle w:val="ListBullet"/>
        <w:spacing w:line="360" w:lineRule="auto" w:after="120"/>
      </w:pPr>
      <w:r>
        <w:rPr>
          <w:rFonts w:ascii="微软雅黑" w:hAnsi="微软雅黑"/>
          <w:sz w:val="21"/>
        </w:rPr>
        <w:t>深入了解您的数据细节，例如其架构、最后构建时间以及生成数据的代码</w:t>
      </w:r>
    </w:p>
    <w:p>
      <w:pPr>
        <w:pStyle w:val="ListBullet"/>
        <w:spacing w:line="360" w:lineRule="auto" w:after="120"/>
      </w:pPr>
      <w:r>
        <w:rPr>
          <w:rFonts w:ascii="微软雅黑" w:hAnsi="微软雅黑"/>
          <w:sz w:val="21"/>
        </w:rPr>
        <w:t>与队友协作</w:t>
      </w:r>
    </w:p>
    <w:p>
      <w:pPr>
        <w:pStyle w:val="ListBullet"/>
        <w:spacing w:line="360" w:lineRule="auto" w:after="120"/>
      </w:pPr>
      <w:r>
        <w:rPr>
          <w:rFonts w:ascii="微软雅黑" w:hAnsi="微软雅黑"/>
          <w:sz w:val="21"/>
        </w:rPr>
        <w:t>创建管道快照与其他用户共享</w:t>
      </w:r>
    </w:p>
    <w:p>
      <w:r>
        <w:br w:type="page"/>
      </w:r>
    </w:p>
    <w:p>
      <w:pPr>
        <w:pStyle w:val="Heading1"/>
      </w:pPr>
      <w:r>
        <w:rPr>
          <w:rFonts w:ascii="微软雅黑" w:hAnsi="微软雅黑"/>
        </w:rPr>
        <w:t>搭建数据集</w:t>
      </w:r>
    </w:p>
    <w:p>
      <w:pPr>
        <w:spacing w:line="360" w:lineRule="auto" w:after="120"/>
      </w:pPr>
      <w:r>
        <w:rPr>
          <w:rFonts w:ascii="微软雅黑" w:hAnsi="微软雅黑"/>
          <w:sz w:val="21"/>
        </w:rPr>
        <w:t># 搭建数据集</w:t>
      </w:r>
    </w:p>
    <w:p>
      <w:pPr>
        <w:spacing w:line="360" w:lineRule="auto" w:after="120"/>
      </w:pPr>
      <w:r>
        <w:rPr>
          <w:rFonts w:ascii="微软雅黑" w:hAnsi="微软雅黑"/>
          <w:sz w:val="21"/>
        </w:rPr>
        <w:t>您可以使用数据沿袭图查看管道中的哪些数据集已过期，然后使用搭建助手直接从数据沿袭开始搭建。</w:t>
      </w:r>
    </w:p>
    <w:p>
      <w:pPr>
        <w:spacing w:line="360" w:lineRule="auto" w:after="120"/>
      </w:pPr>
      <w:r>
        <w:rPr>
          <w:rFonts w:ascii="微软雅黑" w:hAnsi="微软雅黑"/>
          <w:sz w:val="21"/>
        </w:rPr>
        <w:t>从数据沿袭触发的搭建始终适用于图中配置的分支（包括回退分支）。</w:t>
      </w:r>
    </w:p>
    <w:p>
      <w:pPr>
        <w:spacing w:line="360" w:lineRule="auto" w:after="120"/>
      </w:pPr>
      <w:r>
        <w:rPr>
          <w:rFonts w:ascii="微软雅黑" w:hAnsi="微软雅黑"/>
          <w:sz w:val="21"/>
        </w:rPr>
        <w:t>以下是一些常见的搭建工作流程：</w:t>
      </w:r>
    </w:p>
    <w:p>
      <w:pPr>
        <w:pStyle w:val="ListBullet"/>
        <w:spacing w:line="360" w:lineRule="auto" w:after="120"/>
      </w:pPr>
      <w:r>
        <w:rPr>
          <w:rFonts w:ascii="微软雅黑" w:hAnsi="微软雅黑"/>
          <w:color w:val="0066CC"/>
          <w:sz w:val="21"/>
          <w:u w:val="single"/>
        </w:rPr>
        <w:t>搭建所有上级</w:t>
      </w:r>
    </w:p>
    <w:p>
      <w:pPr>
        <w:pStyle w:val="ListBullet"/>
        <w:spacing w:line="360" w:lineRule="auto" w:after="120"/>
      </w:pPr>
      <w:r>
        <w:rPr>
          <w:rFonts w:ascii="微软雅黑" w:hAnsi="微软雅黑"/>
          <w:color w:val="0066CC"/>
          <w:sz w:val="21"/>
          <w:u w:val="single"/>
        </w:rPr>
        <w:t>所选数据集之间的所有变换</w:t>
      </w:r>
    </w:p>
    <w:p>
      <w:pPr>
        <w:pStyle w:val="ListBullet"/>
        <w:spacing w:line="360" w:lineRule="auto" w:after="120"/>
      </w:pPr>
      <w:r>
        <w:rPr>
          <w:rFonts w:ascii="微软雅黑" w:hAnsi="微软雅黑"/>
          <w:color w:val="0066CC"/>
          <w:sz w:val="21"/>
          <w:u w:val="single"/>
        </w:rPr>
        <w:t>仅所选数据集</w:t>
      </w:r>
    </w:p>
    <w:p>
      <w:pPr>
        <w:pStyle w:val="Heading2"/>
      </w:pPr>
      <w:r>
        <w:rPr>
          <w:rFonts w:ascii="微软雅黑" w:hAnsi="微软雅黑"/>
        </w:rPr>
        <w:t>搭建所有上级</w:t>
      </w:r>
    </w:p>
    <w:p>
      <w:pPr>
        <w:spacing w:line="360" w:lineRule="auto" w:after="120"/>
      </w:pPr>
      <w:r>
        <w:rPr>
          <w:rFonts w:ascii="微软雅黑" w:hAnsi="微软雅黑"/>
          <w:sz w:val="21"/>
        </w:rPr>
        <w:t>此策略搭建选定的数据集和所有上级数据集，以确保选定的数据集完全更新。</w:t>
      </w:r>
    </w:p>
    <w:p>
      <w:pPr>
        <w:spacing w:line="360" w:lineRule="auto" w:after="120"/>
      </w:pPr>
      <w:r>
        <w:rPr>
          <w:rFonts w:ascii="微软雅黑" w:hAnsi="微软雅黑"/>
          <w:sz w:val="21"/>
        </w:rPr>
        <w:t>默认情况下，这仅搭建过期的上级，但您可以选择强制重新搭建已更新的数据集。强制重新搭建在搭建时间和资源方面可能会很昂贵。</w:t>
      </w:r>
    </w:p>
    <w:p>
      <w:pPr>
        <w:pStyle w:val="ListNumber"/>
        <w:spacing w:line="360" w:lineRule="auto" w:after="120"/>
      </w:pPr>
      <w:r>
        <w:rPr>
          <w:rFonts w:ascii="微软雅黑" w:hAnsi="微软雅黑"/>
          <w:sz w:val="21"/>
        </w:rPr>
        <w:t>将数据集添加到图中或打开已保存的快照。</w:t>
      </w:r>
    </w:p>
    <w:p>
      <w:pPr>
        <w:pStyle w:val="ListNumber"/>
        <w:spacing w:line="360" w:lineRule="auto" w:after="120"/>
      </w:pPr>
      <w:r>
        <w:rPr>
          <w:rFonts w:ascii="微软雅黑" w:hAnsi="微软雅黑"/>
          <w:sz w:val="21"/>
        </w:rPr>
        <w:t>选择您要搭建的数据集。</w:t>
      </w:r>
    </w:p>
    <w:p>
      <w:pPr>
        <w:pStyle w:val="ListNumber"/>
        <w:spacing w:line="360" w:lineRule="auto" w:after="120"/>
      </w:pPr>
      <w:r>
        <w:rPr>
          <w:rFonts w:ascii="微软雅黑" w:hAnsi="微软雅黑"/>
          <w:sz w:val="21"/>
        </w:rPr>
        <w:t>在搭建助手中，选择</w:t>
      </w:r>
      <w:r>
        <w:rPr>
          <w:rFonts w:ascii="微软雅黑" w:hAnsi="微软雅黑"/>
          <w:b/>
          <w:sz w:val="21"/>
        </w:rPr>
        <w:t>所有上级数据集</w:t>
      </w:r>
      <w:r>
        <w:rPr>
          <w:rFonts w:ascii="微软雅黑" w:hAnsi="微软雅黑"/>
          <w:sz w:val="21"/>
        </w:rPr>
        <w:t>，然后点击</w:t>
      </w:r>
      <w:r>
        <w:rPr>
          <w:rFonts w:ascii="微软雅黑" w:hAnsi="微软雅黑"/>
          <w:b/>
          <w:sz w:val="21"/>
        </w:rPr>
        <w:t>下一步</w:t>
      </w:r>
      <w:r>
        <w:rPr>
          <w:rFonts w:ascii="微软雅黑" w:hAnsi="微软雅黑"/>
          <w:sz w:val="21"/>
        </w:rPr>
        <w:t>。</w:t>
      </w:r>
    </w:p>
    <w:p>
      <w:pPr>
        <w:spacing w:line="360" w:lineRule="auto" w:after="120"/>
      </w:pPr>
      <w:r>
        <w:rPr>
          <w:rFonts w:ascii="微软雅黑" w:hAnsi="微软雅黑"/>
          <w:sz w:val="21"/>
        </w:rPr>
        <w:t>点击</w:t>
      </w:r>
      <w:r>
        <w:rPr>
          <w:rFonts w:ascii="微软雅黑" w:hAnsi="微软雅黑"/>
          <w:b/>
          <w:sz w:val="21"/>
        </w:rPr>
        <w:t>下一步</w:t>
      </w:r>
      <w:r>
        <w:rPr>
          <w:rFonts w:ascii="微软雅黑" w:hAnsi="微软雅黑"/>
          <w:sz w:val="21"/>
        </w:rPr>
        <w:t>尚未触发任何搭建。您将仅看到要搭建的数据集的预览。</w:t>
      </w:r>
    </w:p>
    <w:p>
      <w:pPr>
        <w:spacing w:after="40"/>
        <w:jc w:val="center"/>
      </w:pPr>
      <w:r>
        <w:rPr>
          <w:i/>
          <w:color w:val="646464"/>
          <w:sz w:val="18"/>
        </w:rPr>
        <w:t>图：搭建助手</w:t>
      </w:r>
    </w:p>
    <w:p>
      <w:pPr>
        <w:spacing w:before="120" w:after="240"/>
        <w:jc w:val="center"/>
      </w:pPr>
      <w:r>
        <w:drawing>
          <wp:inline xmlns:a="http://schemas.openxmlformats.org/drawingml/2006/main" xmlns:pic="http://schemas.openxmlformats.org/drawingml/2006/picture">
            <wp:extent cx="5029200" cy="3230272"/>
            <wp:docPr id="2" name="Picture 2"/>
            <wp:cNvGraphicFramePr>
              <a:graphicFrameLocks noChangeAspect="1"/>
            </wp:cNvGraphicFramePr>
            <a:graphic>
              <a:graphicData uri="http://schemas.openxmlformats.org/drawingml/2006/picture">
                <pic:pic>
                  <pic:nvPicPr>
                    <pic:cNvPr id="0" name="data-lineage-build-helper.png"/>
                    <pic:cNvPicPr/>
                  </pic:nvPicPr>
                  <pic:blipFill>
                    <a:blip r:embed="rId10"/>
                    <a:stretch>
                      <a:fillRect/>
                    </a:stretch>
                  </pic:blipFill>
                  <pic:spPr>
                    <a:xfrm>
                      <a:off x="0" y="0"/>
                      <a:ext cx="5029200" cy="3230272"/>
                    </a:xfrm>
                    <a:prstGeom prst="rect"/>
                  </pic:spPr>
                </pic:pic>
              </a:graphicData>
            </a:graphic>
          </wp:inline>
        </w:drawing>
      </w:r>
    </w:p>
    <w:p>
      <w:pPr>
        <w:pStyle w:val="ListNumber"/>
        <w:spacing w:line="360" w:lineRule="auto" w:after="120"/>
      </w:pPr>
      <w:r>
        <w:rPr>
          <w:rFonts w:ascii="微软雅黑" w:hAnsi="微软雅黑"/>
          <w:sz w:val="21"/>
        </w:rPr>
        <w:t>如果您想强制重新搭建已更新的数据集，请点击</w:t>
      </w:r>
      <w:r>
        <w:rPr>
          <w:rFonts w:ascii="微软雅黑" w:hAnsi="微软雅黑"/>
          <w:b/>
          <w:sz w:val="21"/>
        </w:rPr>
        <w:t>强制搭建</w:t>
      </w:r>
      <w:r>
        <w:rPr>
          <w:rFonts w:ascii="微软雅黑" w:hAnsi="微软雅黑"/>
          <w:sz w:val="21"/>
        </w:rPr>
        <w:t>已更新的数据集。</w:t>
      </w:r>
    </w:p>
    <w:p>
      <w:pPr>
        <w:pStyle w:val="ListNumber"/>
        <w:spacing w:line="360" w:lineRule="auto" w:after="120"/>
      </w:pPr>
      <w:r>
        <w:rPr>
          <w:rFonts w:ascii="微软雅黑" w:hAnsi="微软雅黑"/>
          <w:sz w:val="21"/>
        </w:rPr>
        <w:t>在检查要搭建的数据集列表后，点击</w:t>
      </w:r>
      <w:r>
        <w:rPr>
          <w:rFonts w:ascii="微软雅黑" w:hAnsi="微软雅黑"/>
          <w:b/>
          <w:sz w:val="21"/>
        </w:rPr>
        <w:t>运行搭建</w:t>
      </w:r>
      <w:r>
        <w:rPr>
          <w:rFonts w:ascii="微软雅黑" w:hAnsi="微软雅黑"/>
          <w:sz w:val="21"/>
        </w:rPr>
        <w:t>以触发搭建。</w:t>
      </w:r>
    </w:p>
    <w:p>
      <w:pPr>
        <w:spacing w:line="360" w:lineRule="auto" w:after="120"/>
      </w:pPr>
      <w:r>
        <w:rPr>
          <w:rFonts w:ascii="微软雅黑" w:hAnsi="微软雅黑"/>
          <w:sz w:val="21"/>
        </w:rPr>
        <w:t>如果您决定不想搭建*所有*过期的上级，您必须在当前搭建预览中点击</w:t>
      </w:r>
      <w:r>
        <w:rPr>
          <w:rFonts w:ascii="微软雅黑" w:hAnsi="微软雅黑"/>
          <w:b/>
          <w:sz w:val="21"/>
        </w:rPr>
        <w:t>取消</w:t>
      </w:r>
      <w:r>
        <w:rPr>
          <w:rFonts w:ascii="微软雅黑" w:hAnsi="微软雅黑"/>
          <w:sz w:val="21"/>
        </w:rPr>
        <w:t>，然后更改您选择的节点。您无法从搭建预览屏幕更改选择。</w:t>
      </w:r>
    </w:p>
    <w:p>
      <w:pPr>
        <w:spacing w:after="40"/>
        <w:jc w:val="center"/>
      </w:pPr>
      <w:r>
        <w:rPr>
          <w:i/>
          <w:color w:val="646464"/>
          <w:sz w:val="18"/>
        </w:rPr>
        <w:t>图：搭建所有上级</w:t>
      </w:r>
    </w:p>
    <w:p>
      <w:pPr>
        <w:spacing w:before="120" w:after="240"/>
        <w:jc w:val="center"/>
      </w:pPr>
      <w:r>
        <w:drawing>
          <wp:inline xmlns:a="http://schemas.openxmlformats.org/drawingml/2006/main" xmlns:pic="http://schemas.openxmlformats.org/drawingml/2006/picture">
            <wp:extent cx="5029200" cy="3237442"/>
            <wp:docPr id="3" name="Picture 3"/>
            <wp:cNvGraphicFramePr>
              <a:graphicFrameLocks noChangeAspect="1"/>
            </wp:cNvGraphicFramePr>
            <a:graphic>
              <a:graphicData uri="http://schemas.openxmlformats.org/drawingml/2006/picture">
                <pic:pic>
                  <pic:nvPicPr>
                    <pic:cNvPr id="0" name="data-lineage-build-all-ancestors.png"/>
                    <pic:cNvPicPr/>
                  </pic:nvPicPr>
                  <pic:blipFill>
                    <a:blip r:embed="rId11"/>
                    <a:stretch>
                      <a:fillRect/>
                    </a:stretch>
                  </pic:blipFill>
                  <pic:spPr>
                    <a:xfrm>
                      <a:off x="0" y="0"/>
                      <a:ext cx="5029200" cy="3237442"/>
                    </a:xfrm>
                    <a:prstGeom prst="rect"/>
                  </pic:spPr>
                </pic:pic>
              </a:graphicData>
            </a:graphic>
          </wp:inline>
        </w:drawing>
      </w:r>
    </w:p>
    <w:p>
      <w:pPr>
        <w:pStyle w:val="Heading2"/>
      </w:pPr>
      <w:r>
        <w:rPr>
          <w:rFonts w:ascii="微软雅黑" w:hAnsi="微软雅黑"/>
        </w:rPr>
        <w:t>所选数据集之间的所有变换</w:t>
      </w:r>
    </w:p>
    <w:p>
      <w:pPr>
        <w:spacing w:line="360" w:lineRule="auto" w:after="120"/>
      </w:pPr>
      <w:r>
        <w:rPr>
          <w:rFonts w:ascii="微软雅黑" w:hAnsi="微软雅黑"/>
          <w:sz w:val="21"/>
        </w:rPr>
        <w:t>此策略允许您将搭建绑定到管道的一个子集。此策略的一个常见应用案例是在新的原始数据定期进入您的管道时，您希望更新特定数据集以反映新数据，但不想搭建*所有*过期的上级。您可以使用数据沿袭来确定哪些其他数据集需要搭建，以使您感兴趣的数据集更接近最新。</w:t>
      </w:r>
    </w:p>
    <w:p>
      <w:pPr>
        <w:pStyle w:val="ListNumber"/>
        <w:spacing w:line="360" w:lineRule="auto" w:after="120"/>
      </w:pPr>
      <w:r>
        <w:rPr>
          <w:rFonts w:ascii="微软雅黑" w:hAnsi="微软雅黑"/>
          <w:sz w:val="21"/>
        </w:rPr>
        <w:t>将您最终想要搭建的数据集添加到图中。</w:t>
      </w:r>
    </w:p>
    <w:p>
      <w:pPr>
        <w:pStyle w:val="ListNumber"/>
        <w:spacing w:line="360" w:lineRule="auto" w:after="120"/>
      </w:pPr>
      <w:r>
        <w:rPr>
          <w:rFonts w:ascii="微软雅黑" w:hAnsi="微软雅黑"/>
          <w:sz w:val="21"/>
        </w:rPr>
        <w:t>将任何原始数据集（或任何上游数据集）添加到图中。</w:t>
      </w:r>
    </w:p>
    <w:p>
      <w:pPr>
        <w:pStyle w:val="ListNumber"/>
        <w:spacing w:line="360" w:lineRule="auto" w:after="120"/>
      </w:pPr>
      <w:r>
        <w:rPr>
          <w:rFonts w:ascii="微软雅黑" w:hAnsi="微软雅黑"/>
          <w:sz w:val="21"/>
        </w:rPr>
        <w:t>选择所有节点。</w:t>
      </w:r>
    </w:p>
    <w:p>
      <w:pPr>
        <w:pStyle w:val="ListNumber"/>
        <w:spacing w:line="360" w:lineRule="auto" w:after="120"/>
      </w:pPr>
      <w:r>
        <w:rPr>
          <w:rFonts w:ascii="微软雅黑" w:hAnsi="微软雅黑"/>
          <w:sz w:val="21"/>
        </w:rPr>
        <w:t>在搭建助手中，选择</w:t>
      </w:r>
      <w:r>
        <w:rPr>
          <w:rFonts w:ascii="微软雅黑" w:hAnsi="微软雅黑"/>
          <w:b/>
          <w:sz w:val="21"/>
        </w:rPr>
        <w:t>所选数据集之间的所有变换</w:t>
      </w:r>
      <w:r>
        <w:rPr>
          <w:rFonts w:ascii="微软雅黑" w:hAnsi="微软雅黑"/>
          <w:sz w:val="21"/>
        </w:rPr>
        <w:t>策略，然后点击</w:t>
      </w:r>
      <w:r>
        <w:rPr>
          <w:rFonts w:ascii="微软雅黑" w:hAnsi="微软雅黑"/>
          <w:b/>
          <w:sz w:val="21"/>
        </w:rPr>
        <w:t>下一步</w:t>
      </w:r>
      <w:r>
        <w:rPr>
          <w:rFonts w:ascii="微软雅黑" w:hAnsi="微软雅黑"/>
          <w:sz w:val="21"/>
        </w:rPr>
        <w:t>。</w:t>
      </w:r>
    </w:p>
    <w:p>
      <w:pPr>
        <w:spacing w:line="360" w:lineRule="auto" w:after="120"/>
      </w:pPr>
      <w:r>
        <w:rPr>
          <w:rFonts w:ascii="微软雅黑" w:hAnsi="微软雅黑"/>
          <w:sz w:val="21"/>
        </w:rPr>
        <w:t>点击</w:t>
      </w:r>
      <w:r>
        <w:rPr>
          <w:rFonts w:ascii="微软雅黑" w:hAnsi="微软雅黑"/>
          <w:b/>
          <w:sz w:val="21"/>
        </w:rPr>
        <w:t>下一步</w:t>
      </w:r>
      <w:r>
        <w:rPr>
          <w:rFonts w:ascii="微软雅黑" w:hAnsi="微软雅黑"/>
          <w:sz w:val="21"/>
        </w:rPr>
        <w:t>尚未触发任何搭建。您将仅看到基于您选择的节点要搭建的数据集的预览。您现在可以准确看到需要搭建哪些内容以更新您感兴趣的数据集。您可能不想搭建*所有*数据集——也许有一个非常大的派生数据集应该每天只搭建一次——所以请在列表底部点击</w:t>
      </w:r>
      <w:r>
        <w:rPr>
          <w:rFonts w:ascii="微软雅黑" w:hAnsi="微软雅黑"/>
          <w:b/>
          <w:sz w:val="21"/>
        </w:rPr>
        <w:t>全部添加到图中</w:t>
      </w:r>
      <w:r>
        <w:rPr>
          <w:rFonts w:ascii="微软雅黑" w:hAnsi="微软雅黑"/>
          <w:sz w:val="21"/>
        </w:rPr>
        <w:t>。</w:t>
      </w:r>
    </w:p>
    <w:p>
      <w:pPr>
        <w:pStyle w:val="Heading2"/>
      </w:pPr>
      <w:r>
        <w:rPr>
          <w:rFonts w:ascii="微软雅黑" w:hAnsi="微软雅黑"/>
        </w:rPr>
        <w:t>仅所选数据集</w:t>
      </w:r>
    </w:p>
    <w:p>
      <w:pPr>
        <w:spacing w:line="360" w:lineRule="auto" w:after="120"/>
      </w:pPr>
      <w:r>
        <w:rPr>
          <w:rFonts w:ascii="微软雅黑" w:hAnsi="微软雅黑"/>
          <w:sz w:val="21"/>
        </w:rPr>
        <w:t>此策略允许您选择要搭建的单个数据集。如果数据集之间存在依赖关系，搭建将按正确的顺序执行，以确保子集在其上级搭建后被搭建。</w:t>
      </w:r>
    </w:p>
    <w:p>
      <w:pPr>
        <w:spacing w:line="360" w:lineRule="auto" w:after="120"/>
      </w:pPr>
      <w:r>
        <w:rPr>
          <w:rFonts w:ascii="微软雅黑" w:hAnsi="微软雅黑"/>
          <w:sz w:val="21"/>
        </w:rPr>
        <w:t>如果您想更改要搭建的数据集，您必须在当前搭建预览中点击</w:t>
      </w:r>
      <w:r>
        <w:rPr>
          <w:rFonts w:ascii="微软雅黑" w:hAnsi="微软雅黑"/>
          <w:b/>
          <w:sz w:val="21"/>
        </w:rPr>
        <w:t>取消</w:t>
      </w:r>
      <w:r>
        <w:rPr>
          <w:rFonts w:ascii="微软雅黑" w:hAnsi="微软雅黑"/>
          <w:sz w:val="21"/>
        </w:rPr>
        <w:t>，更改您选择的节点，然后进入新的预览。您无法从搭建预览屏幕更改搭建选择。</w:t>
      </w:r>
    </w:p>
    <w:p>
      <w:pPr>
        <w:spacing w:line="360" w:lineRule="auto" w:after="120"/>
      </w:pPr>
      <w:r>
        <w:rPr>
          <w:rFonts w:ascii="微软雅黑" w:hAnsi="微软雅黑"/>
          <w:sz w:val="21"/>
        </w:rPr>
        <w:t>在检查要搭建的最终数据集列表后，点击</w:t>
      </w:r>
      <w:r>
        <w:rPr>
          <w:rFonts w:ascii="微软雅黑" w:hAnsi="微软雅黑"/>
          <w:b/>
          <w:sz w:val="21"/>
        </w:rPr>
        <w:t>运行</w:t>
      </w:r>
      <w:r>
        <w:rPr>
          <w:rFonts w:ascii="微软雅黑" w:hAnsi="微软雅黑"/>
          <w:sz w:val="21"/>
        </w:rPr>
        <w:t>搭建以触发搭建。</w:t>
      </w:r>
    </w:p>
    <w:p>
      <w:r>
        <w:br w:type="page"/>
      </w:r>
    </w:p>
    <w:p>
      <w:pPr>
        <w:pStyle w:val="Heading1"/>
      </w:pPr>
      <w:r>
        <w:rPr>
          <w:rFonts w:ascii="微软雅黑" w:hAnsi="微软雅黑"/>
        </w:rPr>
        <w:t>查看搭建时间线</w:t>
      </w:r>
    </w:p>
    <w:p>
      <w:pPr>
        <w:spacing w:line="360" w:lineRule="auto" w:after="120"/>
      </w:pPr>
      <w:r>
        <w:rPr>
          <w:rFonts w:ascii="微软雅黑" w:hAnsi="微软雅黑"/>
          <w:sz w:val="21"/>
        </w:rPr>
        <w:t># 查看搭建时间线</w:t>
      </w:r>
    </w:p>
    <w:p>
      <w:pPr>
        <w:spacing w:line="360" w:lineRule="auto" w:after="120"/>
      </w:pPr>
      <w:r>
        <w:rPr>
          <w:rFonts w:ascii="微软雅黑" w:hAnsi="微软雅黑"/>
          <w:sz w:val="21"/>
        </w:rPr>
        <w:t xml:space="preserve">在数据沿袭中使用 </w:t>
      </w:r>
      <w:r>
        <w:rPr>
          <w:rFonts w:ascii="微软雅黑" w:hAnsi="微软雅黑"/>
          <w:b/>
          <w:sz w:val="21"/>
        </w:rPr>
        <w:t>搭建时间线</w:t>
      </w:r>
      <w:r>
        <w:rPr>
          <w:rFonts w:ascii="微软雅黑" w:hAnsi="微软雅黑"/>
          <w:sz w:val="21"/>
        </w:rPr>
        <w:t xml:space="preserve"> 工具查看数据集的搭建历史。</w:t>
      </w:r>
    </w:p>
    <w:p>
      <w:pPr>
        <w:spacing w:line="360" w:lineRule="auto" w:after="120"/>
      </w:pPr>
      <w:r>
        <w:rPr>
          <w:rFonts w:ascii="微软雅黑" w:hAnsi="微软雅黑"/>
          <w:sz w:val="21"/>
        </w:rPr>
        <w:t xml:space="preserve">在数据沿袭中，点击窗口左下角的 </w:t>
      </w:r>
      <w:r>
        <w:rPr>
          <w:rFonts w:ascii="微软雅黑" w:hAnsi="微软雅黑"/>
          <w:b/>
          <w:sz w:val="21"/>
        </w:rPr>
        <w:t>搭建时间线</w:t>
      </w:r>
      <w:r>
        <w:rPr>
          <w:rFonts w:ascii="微软雅黑" w:hAnsi="微软雅黑"/>
          <w:sz w:val="21"/>
        </w:rPr>
        <w:t>。此操作会展开查看面板，显示在您选择的时间段内发生的搭建的甘特图。您可以选择想要在时间线中查看的天数或小时数，范围从一小时到十天。您还可以选择按颜色显示搭建，基于日程安排或任务状态。</w:t>
      </w:r>
    </w:p>
    <w:p>
      <w:pPr>
        <w:spacing w:after="40"/>
        <w:jc w:val="center"/>
      </w:pPr>
      <w:r>
        <w:rPr>
          <w:i/>
          <w:color w:val="646464"/>
          <w:sz w:val="18"/>
        </w:rPr>
        <w:t>图：在数据沿袭中查看搭建时间线</w:t>
      </w:r>
    </w:p>
    <w:p>
      <w:pPr>
        <w:spacing w:before="120" w:after="240"/>
        <w:jc w:val="center"/>
      </w:pPr>
      <w:r>
        <w:drawing>
          <wp:inline xmlns:a="http://schemas.openxmlformats.org/drawingml/2006/main" xmlns:pic="http://schemas.openxmlformats.org/drawingml/2006/picture">
            <wp:extent cx="5029200" cy="2129340"/>
            <wp:docPr id="4" name="Picture 4"/>
            <wp:cNvGraphicFramePr>
              <a:graphicFrameLocks noChangeAspect="1"/>
            </wp:cNvGraphicFramePr>
            <a:graphic>
              <a:graphicData uri="http://schemas.openxmlformats.org/drawingml/2006/picture">
                <pic:pic>
                  <pic:nvPicPr>
                    <pic:cNvPr id="0" name="build-timeline.png"/>
                    <pic:cNvPicPr/>
                  </pic:nvPicPr>
                  <pic:blipFill>
                    <a:blip r:embed="rId12"/>
                    <a:stretch>
                      <a:fillRect/>
                    </a:stretch>
                  </pic:blipFill>
                  <pic:spPr>
                    <a:xfrm>
                      <a:off x="0" y="0"/>
                      <a:ext cx="5029200" cy="2129340"/>
                    </a:xfrm>
                    <a:prstGeom prst="rect"/>
                  </pic:spPr>
                </pic:pic>
              </a:graphicData>
            </a:graphic>
          </wp:inline>
        </w:drawing>
      </w:r>
    </w:p>
    <w:p>
      <w:pPr>
        <w:spacing w:line="360" w:lineRule="auto" w:after="120"/>
      </w:pPr>
      <w:r>
        <w:rPr>
          <w:rFonts w:ascii="微软雅黑" w:hAnsi="微软雅黑"/>
          <w:sz w:val="21"/>
        </w:rPr>
        <w:t xml:space="preserve">要查看特定数据集的搭建时间线，请在图表中选择数据集。使用 </w:t>
      </w:r>
      <w:r>
        <w:rPr>
          <w:rFonts w:ascii="微软雅黑" w:hAnsi="微软雅黑"/>
          <w:b/>
          <w:sz w:val="21"/>
        </w:rPr>
        <w:t>拖动选择模式</w:t>
      </w:r>
      <w:r>
        <w:rPr>
          <w:rFonts w:ascii="微软雅黑" w:hAnsi="微软雅黑"/>
          <w:sz w:val="21"/>
        </w:rPr>
        <w:t xml:space="preserve"> 工具或按住 </w:t>
      </w:r>
      <w:r>
        <w:rPr>
          <w:rFonts w:ascii="Consolas" w:hAnsi="Consolas"/>
          <w:color w:val="B43C3C"/>
          <w:sz w:val="18"/>
        </w:rPr>
        <w:t>Ctrl / Command</w:t>
      </w:r>
      <w:r>
        <w:rPr>
          <w:rFonts w:ascii="微软雅黑" w:hAnsi="微软雅黑"/>
          <w:sz w:val="21"/>
        </w:rPr>
        <w:t xml:space="preserve"> 键同时点击选择多个数据集。</w:t>
      </w:r>
    </w:p>
    <w:p>
      <w:pPr>
        <w:spacing w:line="360" w:lineRule="auto" w:after="120"/>
      </w:pPr>
      <w:r>
        <w:rPr>
          <w:rFonts w:ascii="微软雅黑" w:hAnsi="微软雅黑"/>
          <w:sz w:val="21"/>
        </w:rPr>
        <w:t>要查看搭建时间线中任务的详细信息，请点击甘特图中的任务。您将看到关于任务状态、起始时间和结束时间及持续时间的信息。</w:t>
      </w:r>
    </w:p>
    <w:p>
      <w:pPr>
        <w:spacing w:after="40"/>
        <w:jc w:val="center"/>
      </w:pPr>
      <w:r>
        <w:rPr>
          <w:i/>
          <w:color w:val="646464"/>
          <w:sz w:val="18"/>
        </w:rPr>
        <w:t>图：在搭建时间线中查看任务详细信息</w:t>
      </w:r>
    </w:p>
    <w:p>
      <w:pPr>
        <w:spacing w:before="120" w:after="240"/>
        <w:jc w:val="center"/>
      </w:pPr>
      <w:r>
        <w:drawing>
          <wp:inline xmlns:a="http://schemas.openxmlformats.org/drawingml/2006/main" xmlns:pic="http://schemas.openxmlformats.org/drawingml/2006/picture">
            <wp:extent cx="5029200" cy="2630658"/>
            <wp:docPr id="5" name="Picture 5"/>
            <wp:cNvGraphicFramePr>
              <a:graphicFrameLocks noChangeAspect="1"/>
            </wp:cNvGraphicFramePr>
            <a:graphic>
              <a:graphicData uri="http://schemas.openxmlformats.org/drawingml/2006/picture">
                <pic:pic>
                  <pic:nvPicPr>
                    <pic:cNvPr id="0" name="job-details-window.png"/>
                    <pic:cNvPicPr/>
                  </pic:nvPicPr>
                  <pic:blipFill>
                    <a:blip r:embed="rId13"/>
                    <a:stretch>
                      <a:fillRect/>
                    </a:stretch>
                  </pic:blipFill>
                  <pic:spPr>
                    <a:xfrm>
                      <a:off x="0" y="0"/>
                      <a:ext cx="5029200" cy="2630658"/>
                    </a:xfrm>
                    <a:prstGeom prst="rect"/>
                  </pic:spPr>
                </pic:pic>
              </a:graphicData>
            </a:graphic>
          </wp:inline>
        </w:drawing>
      </w:r>
    </w:p>
    <w:p>
      <w:pPr>
        <w:spacing w:line="360" w:lineRule="auto" w:after="120"/>
      </w:pPr>
      <w:r>
        <w:rPr>
          <w:rFonts w:ascii="微软雅黑" w:hAnsi="微软雅黑"/>
          <w:sz w:val="21"/>
        </w:rPr>
        <w:t>通过点击任务信息窗口中的链接查看更多关于搭建、任务和日程安排的详细信息。</w:t>
      </w:r>
    </w:p>
    <w:p>
      <w:r>
        <w:br w:type="page"/>
      </w:r>
    </w:p>
    <w:p>
      <w:pPr>
        <w:pStyle w:val="Heading1"/>
      </w:pPr>
      <w:r>
        <w:rPr>
          <w:rFonts w:ascii="微软雅黑" w:hAnsi="微软雅黑"/>
        </w:rPr>
        <w:t>检查资源权限</w:t>
      </w:r>
    </w:p>
    <w:p>
      <w:pPr>
        <w:spacing w:line="360" w:lineRule="auto" w:after="120"/>
      </w:pPr>
      <w:r>
        <w:rPr>
          <w:rFonts w:ascii="微软雅黑" w:hAnsi="微软雅黑"/>
          <w:sz w:val="21"/>
        </w:rPr>
        <w:t># 检查资源权限</w:t>
      </w:r>
    </w:p>
    <w:p>
      <w:pPr>
        <w:spacing w:line="360" w:lineRule="auto" w:after="120"/>
      </w:pPr>
      <w:r>
        <w:rPr>
          <w:rFonts w:ascii="微软雅黑" w:hAnsi="微软雅黑"/>
          <w:sz w:val="21"/>
        </w:rPr>
        <w:t>您可以使用数据沿袭通过"权限"着色选项检查用户查看数据集或制品的权限。为此，请首先在图中添加节点。您可以使用侧面板上的搜索助手来完成此操作。</w:t>
      </w:r>
    </w:p>
    <w:p>
      <w:pPr>
        <w:spacing w:after="40"/>
        <w:jc w:val="center"/>
      </w:pPr>
      <w:r>
        <w:rPr>
          <w:i/>
          <w:color w:val="646464"/>
          <w:sz w:val="18"/>
        </w:rPr>
        <w:t>图：在图中添加节点</w:t>
      </w:r>
    </w:p>
    <w:p>
      <w:pPr>
        <w:spacing w:before="120" w:after="240"/>
        <w:jc w:val="center"/>
      </w:pPr>
      <w:r>
        <w:drawing>
          <wp:inline xmlns:a="http://schemas.openxmlformats.org/drawingml/2006/main" xmlns:pic="http://schemas.openxmlformats.org/drawingml/2006/picture">
            <wp:extent cx="5029200" cy="3325090"/>
            <wp:docPr id="6" name="Picture 6"/>
            <wp:cNvGraphicFramePr>
              <a:graphicFrameLocks noChangeAspect="1"/>
            </wp:cNvGraphicFramePr>
            <a:graphic>
              <a:graphicData uri="http://schemas.openxmlformats.org/drawingml/2006/picture">
                <pic:pic>
                  <pic:nvPicPr>
                    <pic:cNvPr id="0" name="data_lineage_permissions_1.gif"/>
                    <pic:cNvPicPr/>
                  </pic:nvPicPr>
                  <pic:blipFill>
                    <a:blip r:embed="rId14"/>
                    <a:stretch>
                      <a:fillRect/>
                    </a:stretch>
                  </pic:blipFill>
                  <pic:spPr>
                    <a:xfrm>
                      <a:off x="0" y="0"/>
                      <a:ext cx="5029200" cy="3325090"/>
                    </a:xfrm>
                    <a:prstGeom prst="rect"/>
                  </pic:spPr>
                </pic:pic>
              </a:graphicData>
            </a:graphic>
          </wp:inline>
        </w:drawing>
      </w:r>
    </w:p>
    <w:p>
      <w:pPr>
        <w:spacing w:line="360" w:lineRule="auto" w:after="120"/>
      </w:pPr>
      <w:r>
        <w:rPr>
          <w:rFonts w:ascii="微软雅黑" w:hAnsi="微软雅黑"/>
          <w:sz w:val="21"/>
        </w:rPr>
        <w:t>然后展开图以查看通向您的资源的沿袭（阅读更多关于</w:t>
      </w:r>
      <w:r>
        <w:rPr>
          <w:rFonts w:ascii="微软雅黑" w:hAnsi="微软雅黑"/>
          <w:color w:val="0066CC"/>
          <w:sz w:val="21"/>
          <w:u w:val="single"/>
        </w:rPr>
        <w:t>探索沿袭</w:t>
      </w:r>
      <w:r>
        <w:rPr>
          <w:rFonts w:ascii="微软雅黑" w:hAnsi="微软雅黑"/>
          <w:sz w:val="21"/>
        </w:rPr>
        <w:t>的信息）。</w:t>
      </w:r>
    </w:p>
    <w:p>
      <w:pPr>
        <w:spacing w:after="40"/>
        <w:jc w:val="center"/>
      </w:pPr>
      <w:r>
        <w:rPr>
          <w:i/>
          <w:color w:val="646464"/>
          <w:sz w:val="18"/>
        </w:rPr>
        <w:t>图：展开图以查看沿袭</w:t>
      </w:r>
    </w:p>
    <w:p>
      <w:pPr>
        <w:spacing w:before="120" w:after="240"/>
        <w:jc w:val="center"/>
      </w:pPr>
      <w:r>
        <w:drawing>
          <wp:inline xmlns:a="http://schemas.openxmlformats.org/drawingml/2006/main" xmlns:pic="http://schemas.openxmlformats.org/drawingml/2006/picture">
            <wp:extent cx="5029200" cy="3325090"/>
            <wp:docPr id="7" name="Picture 7"/>
            <wp:cNvGraphicFramePr>
              <a:graphicFrameLocks noChangeAspect="1"/>
            </wp:cNvGraphicFramePr>
            <a:graphic>
              <a:graphicData uri="http://schemas.openxmlformats.org/drawingml/2006/picture">
                <pic:pic>
                  <pic:nvPicPr>
                    <pic:cNvPr id="0" name="data_lineage_permissions_2.gif"/>
                    <pic:cNvPicPr/>
                  </pic:nvPicPr>
                  <pic:blipFill>
                    <a:blip r:embed="rId15"/>
                    <a:stretch>
                      <a:fillRect/>
                    </a:stretch>
                  </pic:blipFill>
                  <pic:spPr>
                    <a:xfrm>
                      <a:off x="0" y="0"/>
                      <a:ext cx="5029200" cy="3325090"/>
                    </a:xfrm>
                    <a:prstGeom prst="rect"/>
                  </pic:spPr>
                </pic:pic>
              </a:graphicData>
            </a:graphic>
          </wp:inline>
        </w:drawing>
      </w:r>
    </w:p>
    <w:p>
      <w:pPr>
        <w:spacing w:line="360" w:lineRule="auto" w:after="120"/>
      </w:pPr>
      <w:r>
        <w:rPr>
          <w:rFonts w:ascii="微软雅黑" w:hAnsi="微软雅黑"/>
          <w:sz w:val="21"/>
        </w:rPr>
        <w:t>完成此操作后，使用</w:t>
      </w:r>
      <w:r>
        <w:rPr>
          <w:rFonts w:ascii="微软雅黑" w:hAnsi="微软雅黑"/>
          <w:b/>
          <w:sz w:val="21"/>
        </w:rPr>
        <w:t>节点颜色选项</w:t>
      </w:r>
      <w:r>
        <w:rPr>
          <w:rFonts w:ascii="微软雅黑" w:hAnsi="微软雅黑"/>
          <w:sz w:val="21"/>
        </w:rPr>
        <w:t>下拉菜单选择</w:t>
      </w:r>
      <w:r>
        <w:rPr>
          <w:rFonts w:ascii="微软雅黑" w:hAnsi="微软雅黑"/>
          <w:b/>
          <w:sz w:val="21"/>
        </w:rPr>
        <w:t>权限</w:t>
      </w:r>
      <w:r>
        <w:rPr>
          <w:rFonts w:ascii="微软雅黑" w:hAnsi="微软雅黑"/>
          <w:sz w:val="21"/>
        </w:rPr>
        <w:t>配色方案。</w:t>
      </w:r>
    </w:p>
    <w:p>
      <w:pPr>
        <w:spacing w:after="40"/>
        <w:jc w:val="center"/>
      </w:pPr>
      <w:r>
        <w:rPr>
          <w:i/>
          <w:color w:val="646464"/>
          <w:sz w:val="18"/>
        </w:rPr>
        <w:t>图：选择权限配色方案</w:t>
      </w:r>
    </w:p>
    <w:p>
      <w:pPr>
        <w:spacing w:before="120" w:after="240"/>
        <w:jc w:val="center"/>
      </w:pPr>
      <w:r>
        <w:drawing>
          <wp:inline xmlns:a="http://schemas.openxmlformats.org/drawingml/2006/main" xmlns:pic="http://schemas.openxmlformats.org/drawingml/2006/picture">
            <wp:extent cx="5029200" cy="3325090"/>
            <wp:docPr id="8" name="Picture 8"/>
            <wp:cNvGraphicFramePr>
              <a:graphicFrameLocks noChangeAspect="1"/>
            </wp:cNvGraphicFramePr>
            <a:graphic>
              <a:graphicData uri="http://schemas.openxmlformats.org/drawingml/2006/picture">
                <pic:pic>
                  <pic:nvPicPr>
                    <pic:cNvPr id="0" name="data_lineage_permissions_3.gif"/>
                    <pic:cNvPicPr/>
                  </pic:nvPicPr>
                  <pic:blipFill>
                    <a:blip r:embed="rId16"/>
                    <a:stretch>
                      <a:fillRect/>
                    </a:stretch>
                  </pic:blipFill>
                  <pic:spPr>
                    <a:xfrm>
                      <a:off x="0" y="0"/>
                      <a:ext cx="5029200" cy="3325090"/>
                    </a:xfrm>
                    <a:prstGeom prst="rect"/>
                  </pic:spPr>
                </pic:pic>
              </a:graphicData>
            </a:graphic>
          </wp:inline>
        </w:drawing>
      </w:r>
    </w:p>
    <w:p>
      <w:pPr>
        <w:spacing w:line="360" w:lineRule="auto" w:after="120"/>
      </w:pPr>
      <w:r>
        <w:rPr>
          <w:rFonts w:ascii="微软雅黑" w:hAnsi="微软雅黑"/>
          <w:sz w:val="21"/>
        </w:rPr>
        <w:t>从</w:t>
      </w:r>
      <w:r>
        <w:rPr>
          <w:rFonts w:ascii="微软雅黑" w:hAnsi="微软雅黑"/>
          <w:b/>
          <w:sz w:val="21"/>
        </w:rPr>
        <w:t>以...查看</w:t>
      </w:r>
      <w:r>
        <w:rPr>
          <w:rFonts w:ascii="微软雅黑" w:hAnsi="微软雅黑"/>
          <w:sz w:val="21"/>
        </w:rPr>
        <w:t>下拉菜单中选择用户的姓名。这样您就可以看到用户对图中每个节点的权限。</w:t>
      </w:r>
    </w:p>
    <w:p>
      <w:pPr>
        <w:spacing w:after="40"/>
        <w:jc w:val="center"/>
      </w:pPr>
      <w:r>
        <w:rPr>
          <w:i/>
          <w:color w:val="646464"/>
          <w:sz w:val="18"/>
        </w:rPr>
        <w:t>图：从下拉菜单中选择用户名</w:t>
      </w:r>
    </w:p>
    <w:p>
      <w:pPr>
        <w:spacing w:before="120" w:after="240"/>
        <w:jc w:val="center"/>
      </w:pPr>
      <w:r>
        <w:drawing>
          <wp:inline xmlns:a="http://schemas.openxmlformats.org/drawingml/2006/main" xmlns:pic="http://schemas.openxmlformats.org/drawingml/2006/picture">
            <wp:extent cx="5029200" cy="3325090"/>
            <wp:docPr id="9" name="Picture 9"/>
            <wp:cNvGraphicFramePr>
              <a:graphicFrameLocks noChangeAspect="1"/>
            </wp:cNvGraphicFramePr>
            <a:graphic>
              <a:graphicData uri="http://schemas.openxmlformats.org/drawingml/2006/picture">
                <pic:pic>
                  <pic:nvPicPr>
                    <pic:cNvPr id="0" name="data_lineage_permissions_4.gif"/>
                    <pic:cNvPicPr/>
                  </pic:nvPicPr>
                  <pic:blipFill>
                    <a:blip r:embed="rId17"/>
                    <a:stretch>
                      <a:fillRect/>
                    </a:stretch>
                  </pic:blipFill>
                  <pic:spPr>
                    <a:xfrm>
                      <a:off x="0" y="0"/>
                      <a:ext cx="5029200" cy="3325090"/>
                    </a:xfrm>
                    <a:prstGeom prst="rect"/>
                  </pic:spPr>
                </pic:pic>
              </a:graphicData>
            </a:graphic>
          </wp:inline>
        </w:drawing>
      </w:r>
    </w:p>
    <w:p>
      <w:pPr>
        <w:spacing w:line="360" w:lineRule="auto" w:after="120"/>
      </w:pPr>
      <w:r>
        <w:rPr>
          <w:rFonts w:ascii="微软雅黑" w:hAnsi="微软雅黑"/>
          <w:sz w:val="21"/>
        </w:rPr>
        <w:t>您可以按两种权限类型进行着色：</w:t>
      </w:r>
    </w:p>
    <w:p>
      <w:pPr>
        <w:pStyle w:val="ListBullet"/>
        <w:spacing w:line="360" w:lineRule="auto" w:after="120"/>
      </w:pPr>
      <w:r>
        <w:rPr>
          <w:rFonts w:ascii="微软雅黑" w:hAnsi="微软雅黑"/>
          <w:color w:val="0066CC"/>
          <w:sz w:val="21"/>
          <w:u w:val="single"/>
        </w:rPr>
        <w:t>数据集中的数据访问</w:t>
      </w:r>
    </w:p>
    <w:p>
      <w:pPr>
        <w:pStyle w:val="ListBullet"/>
        <w:spacing w:line="360" w:lineRule="auto" w:after="120"/>
      </w:pPr>
      <w:r>
        <w:rPr>
          <w:rFonts w:ascii="微软雅黑" w:hAnsi="微软雅黑"/>
          <w:color w:val="0066CC"/>
          <w:sz w:val="21"/>
          <w:u w:val="single"/>
        </w:rPr>
        <w:t>资源访问</w:t>
      </w:r>
    </w:p>
    <w:p>
      <w:pPr>
        <w:spacing w:after="40"/>
        <w:jc w:val="center"/>
      </w:pPr>
      <w:r>
        <w:rPr>
          <w:i/>
          <w:color w:val="646464"/>
          <w:sz w:val="18"/>
        </w:rPr>
        <w:t>图：节点着色的权限类型</w:t>
      </w:r>
    </w:p>
    <w:p>
      <w:pPr>
        <w:spacing w:before="120" w:after="240"/>
        <w:jc w:val="center"/>
      </w:pPr>
      <w:r>
        <w:drawing>
          <wp:inline xmlns:a="http://schemas.openxmlformats.org/drawingml/2006/main" xmlns:pic="http://schemas.openxmlformats.org/drawingml/2006/picture">
            <wp:extent cx="5029200" cy="2595105"/>
            <wp:docPr id="10" name="Picture 10"/>
            <wp:cNvGraphicFramePr>
              <a:graphicFrameLocks noChangeAspect="1"/>
            </wp:cNvGraphicFramePr>
            <a:graphic>
              <a:graphicData uri="http://schemas.openxmlformats.org/drawingml/2006/picture">
                <pic:pic>
                  <pic:nvPicPr>
                    <pic:cNvPr id="0" name="data_lineage_permissions_5.png"/>
                    <pic:cNvPicPr/>
                  </pic:nvPicPr>
                  <pic:blipFill>
                    <a:blip r:embed="rId18"/>
                    <a:stretch>
                      <a:fillRect/>
                    </a:stretch>
                  </pic:blipFill>
                  <pic:spPr>
                    <a:xfrm>
                      <a:off x="0" y="0"/>
                      <a:ext cx="5029200" cy="2595105"/>
                    </a:xfrm>
                    <a:prstGeom prst="rect"/>
                  </pic:spPr>
                </pic:pic>
              </a:graphicData>
            </a:graphic>
          </wp:inline>
        </w:drawing>
      </w:r>
    </w:p>
    <w:p>
      <w:pPr>
        <w:pStyle w:val="Heading3"/>
      </w:pPr>
      <w:r>
        <w:rPr>
          <w:rFonts w:ascii="微软雅黑" w:hAnsi="微软雅黑"/>
        </w:rPr>
        <w:t>数据集中的数据访问</w:t>
      </w:r>
    </w:p>
    <w:p>
      <w:pPr>
        <w:spacing w:line="360" w:lineRule="auto" w:after="120"/>
      </w:pPr>
      <w:r>
        <w:rPr>
          <w:rFonts w:ascii="微软雅黑" w:hAnsi="微软雅黑"/>
          <w:sz w:val="21"/>
        </w:rPr>
        <w:t>使用此选项来排查权限问题。请记住，用户的数据访问受数据沿袭影响（参见</w:t>
      </w:r>
      <w:r>
        <w:rPr>
          <w:rFonts w:ascii="微软雅黑" w:hAnsi="微软雅黑"/>
          <w:color w:val="0066CC"/>
          <w:sz w:val="21"/>
          <w:u w:val="single"/>
        </w:rPr>
        <w:t>平台安全性</w:t>
      </w:r>
      <w:r>
        <w:rPr>
          <w:rFonts w:ascii="微软雅黑" w:hAnsi="微软雅黑"/>
          <w:sz w:val="21"/>
        </w:rPr>
        <w:t>）。通过根据用户对数据的访问权限为节点着色，您可以轻松查看可能限制用户访问数据的上游数据集。</w:t>
      </w:r>
    </w:p>
    <w:p>
      <w:pPr>
        <w:spacing w:line="360" w:lineRule="auto" w:after="120"/>
      </w:pPr>
      <w:r>
        <w:rPr>
          <w:rFonts w:ascii="微软雅黑" w:hAnsi="微软雅黑"/>
          <w:sz w:val="21"/>
        </w:rPr>
        <w:t>请注意，此选项仅适用于数据集节点。</w:t>
      </w:r>
    </w:p>
    <w:p>
      <w:pPr>
        <w:pStyle w:val="Heading3"/>
      </w:pPr>
      <w:r>
        <w:rPr>
          <w:rFonts w:ascii="微软雅黑" w:hAnsi="微软雅黑"/>
        </w:rPr>
        <w:t>资源访问</w:t>
      </w:r>
    </w:p>
    <w:p>
      <w:pPr>
        <w:spacing w:line="360" w:lineRule="auto" w:after="120"/>
      </w:pPr>
      <w:r>
        <w:rPr>
          <w:rFonts w:ascii="微软雅黑" w:hAnsi="微软雅黑"/>
          <w:sz w:val="21"/>
        </w:rPr>
        <w:t>这将使您可以看到为选定用户在选定资源上设置的</w:t>
      </w:r>
      <w:r>
        <w:rPr>
          <w:rFonts w:ascii="微软雅黑" w:hAnsi="微软雅黑"/>
          <w:color w:val="0066CC"/>
          <w:sz w:val="21"/>
          <w:u w:val="single"/>
        </w:rPr>
        <w:t>角色</w:t>
      </w:r>
      <w:r>
        <w:rPr>
          <w:rFonts w:ascii="微软雅黑" w:hAnsi="微软雅黑"/>
          <w:sz w:val="21"/>
        </w:rPr>
        <w:t>（例如编辑者、只读等）。</w:t>
      </w:r>
    </w:p>
    <w:p>
      <w:pPr>
        <w:spacing w:line="360" w:lineRule="auto" w:after="120"/>
      </w:pPr>
      <w:r>
        <w:rPr>
          <w:rFonts w:ascii="微软雅黑" w:hAnsi="微软雅黑"/>
          <w:sz w:val="21"/>
        </w:rPr>
        <w:t>使用此选项查看用户对您的制品的访问级别。</w:t>
      </w:r>
    </w:p>
    <w:p>
      <w:pPr>
        <w:spacing w:line="360" w:lineRule="auto" w:after="120"/>
      </w:pPr>
      <w:r>
        <w:rPr>
          <w:rFonts w:ascii="微软雅黑" w:hAnsi="微软雅黑"/>
          <w:sz w:val="21"/>
        </w:rPr>
        <w:t>角色与数据沿袭的对应关系与数据访问不同。例如，用户在轮廓分析中为"编辑者"并不保证他们有权限查看分析所依赖的数据。在与用户共享资源时，确保他们可以访问基础数据。</w:t>
      </w:r>
    </w:p>
    <w:p>
      <w:r>
        <w:br w:type="page"/>
      </w:r>
    </w:p>
    <w:p>
      <w:pPr>
        <w:pStyle w:val="Heading1"/>
      </w:pPr>
      <w:r>
        <w:rPr>
          <w:rFonts w:ascii="微软雅黑" w:hAnsi="微软雅黑"/>
        </w:rPr>
        <w:t>预览和逻辑</w:t>
      </w:r>
    </w:p>
    <w:p>
      <w:pPr>
        <w:spacing w:line="360" w:lineRule="auto" w:after="120"/>
      </w:pPr>
      <w:r>
        <w:rPr>
          <w:rFonts w:ascii="微软雅黑" w:hAnsi="微软雅黑"/>
          <w:sz w:val="21"/>
        </w:rPr>
        <w:t># 预览和逻辑</w:t>
      </w:r>
    </w:p>
    <w:p>
      <w:pPr>
        <w:spacing w:line="360" w:lineRule="auto" w:after="120"/>
      </w:pPr>
      <w:r>
        <w:rPr>
          <w:rFonts w:ascii="微软雅黑" w:hAnsi="微软雅黑"/>
          <w:sz w:val="21"/>
        </w:rPr>
        <w:t>数据沿袭界面允许您查看所选数据集或媒体集的预览，并检查相关代码以理解数据集或媒体集背后的逻辑。</w:t>
      </w:r>
    </w:p>
    <w:p>
      <w:pPr>
        <w:pStyle w:val="Heading2"/>
      </w:pPr>
      <w:r>
        <w:rPr>
          <w:rFonts w:ascii="微软雅黑" w:hAnsi="微软雅黑"/>
        </w:rPr>
        <w:t>预览</w:t>
      </w:r>
    </w:p>
    <w:p>
      <w:pPr>
        <w:spacing w:line="360" w:lineRule="auto" w:after="120"/>
      </w:pPr>
      <w:r>
        <w:rPr>
          <w:rFonts w:ascii="微软雅黑" w:hAnsi="微软雅黑"/>
          <w:sz w:val="21"/>
        </w:rPr>
        <w:t xml:space="preserve">要查看数据集或媒体集的预览，请在您的数据沿袭图中选择它，然后在界面左下角选择 </w:t>
      </w:r>
      <w:r>
        <w:rPr>
          <w:rFonts w:ascii="微软雅黑" w:hAnsi="微软雅黑"/>
          <w:b/>
          <w:sz w:val="21"/>
        </w:rPr>
        <w:t>预览</w:t>
      </w:r>
      <w:r>
        <w:rPr>
          <w:rFonts w:ascii="微软雅黑" w:hAnsi="微软雅黑"/>
          <w:sz w:val="21"/>
        </w:rPr>
        <w:t xml:space="preserve"> 选项卡。</w:t>
      </w:r>
    </w:p>
    <w:p>
      <w:pPr>
        <w:pStyle w:val="Heading3"/>
      </w:pPr>
      <w:r>
        <w:rPr>
          <w:rFonts w:ascii="微软雅黑" w:hAnsi="微软雅黑"/>
        </w:rPr>
        <w:t>媒体集</w:t>
      </w:r>
    </w:p>
    <w:p>
      <w:pPr>
        <w:spacing w:line="360" w:lineRule="auto" w:after="120"/>
      </w:pPr>
      <w:r>
        <w:rPr>
          <w:rFonts w:ascii="微软雅黑" w:hAnsi="微软雅黑"/>
          <w:sz w:val="21"/>
        </w:rPr>
        <w:t>当媒体集预览展开时，您可以查看媒体集的内容。</w:t>
      </w:r>
      <w:r>
        <w:rPr>
          <w:rFonts w:ascii="微软雅黑" w:hAnsi="微软雅黑"/>
          <w:color w:val="0066CC"/>
          <w:sz w:val="21"/>
          <w:u w:val="single"/>
        </w:rPr>
        <w:t>了解更多关于媒体集的信息。</w:t>
      </w:r>
      <w:r>
        <w:rPr>
          <w:rFonts w:ascii="微软雅黑" w:hAnsi="微软雅黑"/>
          <w:sz w:val="21"/>
        </w:rPr>
        <w:t>.</w:t>
      </w:r>
    </w:p>
    <w:p>
      <w:pPr>
        <w:spacing w:line="360" w:lineRule="auto" w:after="120"/>
      </w:pPr>
      <w:r>
        <w:rPr>
          <w:rFonts w:ascii="微软雅黑" w:hAnsi="微软雅黑"/>
          <w:sz w:val="21"/>
        </w:rPr>
        <w:t>PDF预览示例：</w:t>
      </w:r>
    </w:p>
    <w:p>
      <w:pPr>
        <w:spacing w:after="40"/>
        <w:jc w:val="center"/>
      </w:pPr>
      <w:r>
        <w:rPr>
          <w:i/>
          <w:color w:val="646464"/>
          <w:sz w:val="18"/>
        </w:rPr>
        <w:t>图：媒体集PDF预览</w:t>
      </w:r>
    </w:p>
    <w:p>
      <w:pPr>
        <w:spacing w:before="120" w:after="240"/>
        <w:jc w:val="center"/>
      </w:pPr>
      <w:r>
        <w:drawing>
          <wp:inline xmlns:a="http://schemas.openxmlformats.org/drawingml/2006/main" xmlns:pic="http://schemas.openxmlformats.org/drawingml/2006/picture">
            <wp:extent cx="5029200" cy="3006302"/>
            <wp:docPr id="11" name="Picture 11"/>
            <wp:cNvGraphicFramePr>
              <a:graphicFrameLocks noChangeAspect="1"/>
            </wp:cNvGraphicFramePr>
            <a:graphic>
              <a:graphicData uri="http://schemas.openxmlformats.org/drawingml/2006/picture">
                <pic:pic>
                  <pic:nvPicPr>
                    <pic:cNvPr id="0" name="dl-pdf-preview.png"/>
                    <pic:cNvPicPr/>
                  </pic:nvPicPr>
                  <pic:blipFill>
                    <a:blip r:embed="rId19"/>
                    <a:stretch>
                      <a:fillRect/>
                    </a:stretch>
                  </pic:blipFill>
                  <pic:spPr>
                    <a:xfrm>
                      <a:off x="0" y="0"/>
                      <a:ext cx="5029200" cy="3006302"/>
                    </a:xfrm>
                    <a:prstGeom prst="rect"/>
                  </pic:spPr>
                </pic:pic>
              </a:graphicData>
            </a:graphic>
          </wp:inline>
        </w:drawing>
      </w:r>
    </w:p>
    <w:p>
      <w:pPr>
        <w:spacing w:line="360" w:lineRule="auto" w:after="120"/>
      </w:pPr>
      <w:r>
        <w:rPr>
          <w:rFonts w:ascii="微软雅黑" w:hAnsi="微软雅黑"/>
          <w:sz w:val="21"/>
        </w:rPr>
        <w:t>音频预览示例：</w:t>
      </w:r>
    </w:p>
    <w:p>
      <w:pPr>
        <w:spacing w:after="40"/>
        <w:jc w:val="center"/>
      </w:pPr>
      <w:r>
        <w:rPr>
          <w:i/>
          <w:color w:val="646464"/>
          <w:sz w:val="18"/>
        </w:rPr>
        <w:t>图：媒体集音频预览</w:t>
      </w:r>
    </w:p>
    <w:p>
      <w:pPr>
        <w:spacing w:before="120" w:after="240"/>
        <w:jc w:val="center"/>
      </w:pPr>
      <w:r>
        <w:drawing>
          <wp:inline xmlns:a="http://schemas.openxmlformats.org/drawingml/2006/main" xmlns:pic="http://schemas.openxmlformats.org/drawingml/2006/picture">
            <wp:extent cx="5029200" cy="3117844"/>
            <wp:docPr id="12" name="Picture 12"/>
            <wp:cNvGraphicFramePr>
              <a:graphicFrameLocks noChangeAspect="1"/>
            </wp:cNvGraphicFramePr>
            <a:graphic>
              <a:graphicData uri="http://schemas.openxmlformats.org/drawingml/2006/picture">
                <pic:pic>
                  <pic:nvPicPr>
                    <pic:cNvPr id="0" name="dl-audio-preview.png"/>
                    <pic:cNvPicPr/>
                  </pic:nvPicPr>
                  <pic:blipFill>
                    <a:blip r:embed="rId20"/>
                    <a:stretch>
                      <a:fillRect/>
                    </a:stretch>
                  </pic:blipFill>
                  <pic:spPr>
                    <a:xfrm>
                      <a:off x="0" y="0"/>
                      <a:ext cx="5029200" cy="3117844"/>
                    </a:xfrm>
                    <a:prstGeom prst="rect"/>
                  </pic:spPr>
                </pic:pic>
              </a:graphicData>
            </a:graphic>
          </wp:inline>
        </w:drawing>
      </w:r>
    </w:p>
    <w:p>
      <w:pPr>
        <w:pStyle w:val="Heading3"/>
      </w:pPr>
      <w:r>
        <w:rPr>
          <w:rFonts w:ascii="微软雅黑" w:hAnsi="微软雅黑"/>
        </w:rPr>
        <w:t>数据集</w:t>
      </w:r>
    </w:p>
    <w:p>
      <w:pPr>
        <w:spacing w:line="360" w:lineRule="auto" w:after="120"/>
      </w:pPr>
      <w:r>
        <w:rPr>
          <w:rFonts w:ascii="微软雅黑" w:hAnsi="微软雅黑"/>
          <w:sz w:val="21"/>
        </w:rPr>
        <w:t xml:space="preserve">当数据集预览展开时，您可以滚动浏览所选数据集的前300行。您还可以使用预览窗口右侧的 </w:t>
      </w:r>
      <w:r>
        <w:rPr>
          <w:rFonts w:ascii="微软雅黑" w:hAnsi="微软雅黑"/>
          <w:b/>
          <w:sz w:val="21"/>
        </w:rPr>
        <w:t>搜索列...</w:t>
      </w:r>
      <w:r>
        <w:rPr>
          <w:rFonts w:ascii="微软雅黑" w:hAnsi="微软雅黑"/>
          <w:sz w:val="21"/>
        </w:rPr>
        <w:t xml:space="preserve"> 字段搜索特定列。根据数据集中数据的类型，数据集的预览将有所不同。</w:t>
      </w:r>
    </w:p>
    <w:p>
      <w:pPr>
        <w:spacing w:after="40"/>
        <w:jc w:val="center"/>
      </w:pPr>
      <w:r>
        <w:rPr>
          <w:i/>
          <w:color w:val="646464"/>
          <w:sz w:val="18"/>
        </w:rPr>
        <w:t>图：查看数据集预览</w:t>
      </w:r>
    </w:p>
    <w:p>
      <w:pPr>
        <w:spacing w:before="120" w:after="240"/>
        <w:jc w:val="center"/>
      </w:pPr>
      <w:r>
        <w:drawing>
          <wp:inline xmlns:a="http://schemas.openxmlformats.org/drawingml/2006/main" xmlns:pic="http://schemas.openxmlformats.org/drawingml/2006/picture">
            <wp:extent cx="5029200" cy="1574226"/>
            <wp:docPr id="13" name="Picture 13"/>
            <wp:cNvGraphicFramePr>
              <a:graphicFrameLocks noChangeAspect="1"/>
            </wp:cNvGraphicFramePr>
            <a:graphic>
              <a:graphicData uri="http://schemas.openxmlformats.org/drawingml/2006/picture">
                <pic:pic>
                  <pic:nvPicPr>
                    <pic:cNvPr id="0" name="dataset-preview.png"/>
                    <pic:cNvPicPr/>
                  </pic:nvPicPr>
                  <pic:blipFill>
                    <a:blip r:embed="rId21"/>
                    <a:stretch>
                      <a:fillRect/>
                    </a:stretch>
                  </pic:blipFill>
                  <pic:spPr>
                    <a:xfrm>
                      <a:off x="0" y="0"/>
                      <a:ext cx="5029200" cy="1574226"/>
                    </a:xfrm>
                    <a:prstGeom prst="rect"/>
                  </pic:spPr>
                </pic:pic>
              </a:graphicData>
            </a:graphic>
          </wp:inline>
        </w:drawing>
      </w:r>
    </w:p>
    <w:p>
      <w:pPr>
        <w:pStyle w:val="Heading2"/>
      </w:pPr>
      <w:r>
        <w:rPr>
          <w:rFonts w:ascii="微软雅黑" w:hAnsi="微软雅黑"/>
        </w:rPr>
        <w:t>逻辑</w:t>
      </w:r>
    </w:p>
    <w:p>
      <w:pPr>
        <w:spacing w:line="360" w:lineRule="auto" w:after="120"/>
      </w:pPr>
      <w:r>
        <w:rPr>
          <w:rFonts w:ascii="微软雅黑" w:hAnsi="微软雅黑"/>
          <w:sz w:val="21"/>
        </w:rPr>
        <w:t xml:space="preserve">选择 </w:t>
      </w:r>
      <w:r>
        <w:rPr>
          <w:rFonts w:ascii="微软雅黑" w:hAnsi="微软雅黑"/>
          <w:b/>
          <w:sz w:val="21"/>
        </w:rPr>
        <w:t>代码</w:t>
      </w:r>
      <w:r>
        <w:rPr>
          <w:rFonts w:ascii="微软雅黑" w:hAnsi="微软雅黑"/>
          <w:sz w:val="21"/>
        </w:rPr>
        <w:t xml:space="preserve"> 选项卡以查看所选数据集或媒体集的代码逻辑。在 </w:t>
      </w:r>
      <w:r>
        <w:rPr>
          <w:rFonts w:ascii="微软雅黑" w:hAnsi="微软雅黑"/>
          <w:b/>
          <w:sz w:val="21"/>
        </w:rPr>
        <w:t>代码</w:t>
      </w:r>
      <w:r>
        <w:rPr>
          <w:rFonts w:ascii="微软雅黑" w:hAnsi="微软雅黑"/>
          <w:sz w:val="21"/>
        </w:rPr>
        <w:t xml:space="preserve"> 视图中，您可以快速编辑、搜索项目，或在用于推导数据的代码库或其他应用程序中打开代码。</w:t>
      </w:r>
    </w:p>
    <w:p>
      <w:pPr>
        <w:spacing w:after="40"/>
        <w:jc w:val="center"/>
      </w:pPr>
      <w:r>
        <w:rPr>
          <w:i/>
          <w:color w:val="646464"/>
          <w:sz w:val="18"/>
        </w:rPr>
        <w:t>图：查看数据集代码</w:t>
      </w:r>
    </w:p>
    <w:p>
      <w:pPr>
        <w:spacing w:before="120" w:after="240"/>
        <w:jc w:val="center"/>
      </w:pPr>
      <w:r>
        <w:drawing>
          <wp:inline xmlns:a="http://schemas.openxmlformats.org/drawingml/2006/main" xmlns:pic="http://schemas.openxmlformats.org/drawingml/2006/picture">
            <wp:extent cx="5029200" cy="1557917"/>
            <wp:docPr id="14" name="Picture 14"/>
            <wp:cNvGraphicFramePr>
              <a:graphicFrameLocks noChangeAspect="1"/>
            </wp:cNvGraphicFramePr>
            <a:graphic>
              <a:graphicData uri="http://schemas.openxmlformats.org/drawingml/2006/picture">
                <pic:pic>
                  <pic:nvPicPr>
                    <pic:cNvPr id="0" name="dataset-code.png"/>
                    <pic:cNvPicPr/>
                  </pic:nvPicPr>
                  <pic:blipFill>
                    <a:blip r:embed="rId22"/>
                    <a:stretch>
                      <a:fillRect/>
                    </a:stretch>
                  </pic:blipFill>
                  <pic:spPr>
                    <a:xfrm>
                      <a:off x="0" y="0"/>
                      <a:ext cx="5029200" cy="1557917"/>
                    </a:xfrm>
                    <a:prstGeom prst="rect"/>
                  </pic:spPr>
                </pic:pic>
              </a:graphicData>
            </a:graphic>
          </wp:inline>
        </w:drawing>
      </w:r>
    </w:p>
    <w:p>
      <w:pPr>
        <w:spacing w:line="360" w:lineRule="auto" w:after="120"/>
      </w:pPr>
      <w:r>
        <w:rPr>
          <w:rFonts w:ascii="微软雅黑" w:hAnsi="微软雅黑"/>
          <w:sz w:val="21"/>
        </w:rPr>
        <w:t>:::callout</w:t>
      </w:r>
    </w:p>
    <w:p>
      <w:pPr>
        <w:spacing w:line="360" w:lineRule="auto" w:after="120"/>
      </w:pPr>
      <w:r>
        <w:rPr>
          <w:rFonts w:ascii="微软雅黑" w:hAnsi="微软雅黑"/>
          <w:sz w:val="21"/>
        </w:rPr>
        <w:t>上传和数据输出数据集在数据沿袭中没有可查看的相关代码。</w:t>
      </w:r>
    </w:p>
    <w:p>
      <w:r>
        <w:br w:type="page"/>
      </w:r>
    </w:p>
    <w:p>
      <w:pPr>
        <w:pStyle w:val="Heading1"/>
      </w:pPr>
      <w:r>
        <w:rPr>
          <w:rFonts w:ascii="微软雅黑" w:hAnsi="微软雅黑"/>
        </w:rPr>
        <w:t>图元素参考</w:t>
      </w:r>
    </w:p>
    <w:p>
      <w:pPr>
        <w:spacing w:line="360" w:lineRule="auto" w:after="120"/>
      </w:pPr>
      <w:r>
        <w:rPr>
          <w:rFonts w:ascii="微软雅黑" w:hAnsi="微软雅黑"/>
          <w:sz w:val="21"/>
        </w:rPr>
        <w:t># 图元素参考</w:t>
      </w:r>
    </w:p>
    <w:p>
      <w:pPr>
        <w:pStyle w:val="Heading2"/>
      </w:pPr>
      <w:r>
        <w:rPr>
          <w:rFonts w:ascii="微软雅黑" w:hAnsi="微软雅黑"/>
        </w:rPr>
        <w:t>节点类型</w:t>
      </w:r>
    </w:p>
    <w:p>
      <w:pPr>
        <w:spacing w:after="40"/>
        <w:jc w:val="center"/>
      </w:pPr>
      <w:r>
        <w:rPr>
          <w:i/>
          <w:color w:val="646464"/>
          <w:sz w:val="18"/>
        </w:rPr>
        <w:t>图：数据源</w:t>
      </w:r>
    </w:p>
    <w:p>
      <w:pPr>
        <w:spacing w:before="120" w:after="240"/>
        <w:jc w:val="center"/>
      </w:pPr>
      <w:r>
        <w:drawing>
          <wp:inline xmlns:a="http://schemas.openxmlformats.org/drawingml/2006/main" xmlns:pic="http://schemas.openxmlformats.org/drawingml/2006/picture">
            <wp:extent cx="5029200" cy="3130061"/>
            <wp:docPr id="15" name="Picture 15"/>
            <wp:cNvGraphicFramePr>
              <a:graphicFrameLocks noChangeAspect="1"/>
            </wp:cNvGraphicFramePr>
            <a:graphic>
              <a:graphicData uri="http://schemas.openxmlformats.org/drawingml/2006/picture">
                <pic:pic>
                  <pic:nvPicPr>
                    <pic:cNvPr id="0" name="data-lineage-node-data-source.png"/>
                    <pic:cNvPicPr/>
                  </pic:nvPicPr>
                  <pic:blipFill>
                    <a:blip r:embed="rId23"/>
                    <a:stretch>
                      <a:fillRect/>
                    </a:stretch>
                  </pic:blipFill>
                  <pic:spPr>
                    <a:xfrm>
                      <a:off x="0" y="0"/>
                      <a:ext cx="5029200" cy="3130061"/>
                    </a:xfrm>
                    <a:prstGeom prst="rect"/>
                  </pic:spPr>
                </pic:pic>
              </a:graphicData>
            </a:graphic>
          </wp:inline>
        </w:drawing>
      </w:r>
    </w:p>
    <w:p>
      <w:pPr>
        <w:spacing w:line="360" w:lineRule="auto" w:after="120"/>
      </w:pPr>
      <w:r>
        <w:rPr>
          <w:rFonts w:ascii="微软雅黑" w:hAnsi="微软雅黑"/>
          <w:sz w:val="21"/>
        </w:rPr>
        <w:t xml:space="preserve">| </w:t>
      </w:r>
      <w:r>
        <w:rPr>
          <w:rFonts w:ascii="微软雅黑" w:hAnsi="微软雅黑"/>
          <w:b/>
          <w:sz w:val="21"/>
        </w:rPr>
        <w:t>数据源</w:t>
      </w:r>
      <w:r>
        <w:rPr>
          <w:rFonts w:ascii="微软雅黑" w:hAnsi="微软雅黑"/>
          <w:sz w:val="21"/>
        </w:rPr>
        <w:t xml:space="preserve"> | 这是数据源在</w:t>
      </w:r>
      <w:r>
        <w:rPr>
          <w:rFonts w:ascii="微软雅黑" w:hAnsi="微软雅黑"/>
          <w:color w:val="0066CC"/>
          <w:sz w:val="21"/>
          <w:u w:val="single"/>
        </w:rPr>
        <w:t>数据连接</w:t>
      </w:r>
      <w:r>
        <w:rPr>
          <w:rFonts w:ascii="微软雅黑" w:hAnsi="微软雅黑"/>
          <w:sz w:val="21"/>
        </w:rPr>
        <w:t>中显示的名称。</w:t>
      </w:r>
      <w:r>
        <w:rPr>
          <w:rFonts w:ascii="微软雅黑" w:hAnsi="微软雅黑"/>
          <w:color w:val="0066CC"/>
          <w:sz w:val="21"/>
          <w:u w:val="single"/>
        </w:rPr>
        <w:t>了解更多关于不同源类型的信息。</w:t>
      </w:r>
    </w:p>
    <w:p>
      <w:pPr>
        <w:spacing w:after="40"/>
        <w:jc w:val="center"/>
      </w:pPr>
      <w:r>
        <w:rPr>
          <w:i/>
          <w:color w:val="646464"/>
          <w:sz w:val="18"/>
        </w:rPr>
        <w:t>图：数据集节点</w:t>
      </w:r>
    </w:p>
    <w:p>
      <w:pPr>
        <w:spacing w:before="120" w:after="240"/>
        <w:jc w:val="center"/>
      </w:pPr>
      <w:r>
        <w:drawing>
          <wp:inline xmlns:a="http://schemas.openxmlformats.org/drawingml/2006/main" xmlns:pic="http://schemas.openxmlformats.org/drawingml/2006/picture">
            <wp:extent cx="5029200" cy="938784"/>
            <wp:docPr id="16" name="Picture 16"/>
            <wp:cNvGraphicFramePr>
              <a:graphicFrameLocks noChangeAspect="1"/>
            </wp:cNvGraphicFramePr>
            <a:graphic>
              <a:graphicData uri="http://schemas.openxmlformats.org/drawingml/2006/picture">
                <pic:pic>
                  <pic:nvPicPr>
                    <pic:cNvPr id="0" name="data-lineage-node-dataset.png"/>
                    <pic:cNvPicPr/>
                  </pic:nvPicPr>
                  <pic:blipFill>
                    <a:blip r:embed="rId24"/>
                    <a:stretch>
                      <a:fillRect/>
                    </a:stretch>
                  </pic:blipFill>
                  <pic:spPr>
                    <a:xfrm>
                      <a:off x="0" y="0"/>
                      <a:ext cx="5029200" cy="938784"/>
                    </a:xfrm>
                    <a:prstGeom prst="rect"/>
                  </pic:spPr>
                </pic:pic>
              </a:graphicData>
            </a:graphic>
          </wp:inline>
        </w:drawing>
      </w:r>
    </w:p>
    <w:p>
      <w:pPr>
        <w:spacing w:line="360" w:lineRule="auto" w:after="120"/>
      </w:pPr>
      <w:r>
        <w:rPr>
          <w:rFonts w:ascii="微软雅黑" w:hAnsi="微软雅黑"/>
          <w:sz w:val="21"/>
        </w:rPr>
        <w:t xml:space="preserve">| </w:t>
      </w:r>
      <w:r>
        <w:rPr>
          <w:rFonts w:ascii="微软雅黑" w:hAnsi="微软雅黑"/>
          <w:b/>
          <w:sz w:val="21"/>
        </w:rPr>
        <w:t>数据集</w:t>
      </w:r>
      <w:r>
        <w:rPr>
          <w:rFonts w:ascii="微软雅黑" w:hAnsi="微软雅黑"/>
          <w:sz w:val="21"/>
        </w:rPr>
        <w:t xml:space="preserve"> | Foundry数据集及其之间的沿袭。数据集节点的颜色取决于</w:t>
      </w:r>
      <w:r>
        <w:rPr>
          <w:rFonts w:ascii="微软雅黑" w:hAnsi="微软雅黑"/>
          <w:color w:val="0066CC"/>
          <w:sz w:val="21"/>
          <w:u w:val="single"/>
        </w:rPr>
        <w:t>用户选择</w:t>
      </w:r>
      <w:r>
        <w:rPr>
          <w:rFonts w:ascii="微软雅黑" w:hAnsi="微软雅黑"/>
          <w:sz w:val="21"/>
        </w:rPr>
        <w:t>。虚线边框表示非结构化数据集。</w:t>
      </w:r>
    </w:p>
    <w:p>
      <w:pPr>
        <w:spacing w:after="40"/>
        <w:jc w:val="center"/>
      </w:pPr>
      <w:r>
        <w:rPr>
          <w:i/>
          <w:color w:val="646464"/>
          <w:sz w:val="18"/>
        </w:rPr>
        <w:t>图：Object类型节点</w:t>
      </w:r>
    </w:p>
    <w:p>
      <w:pPr>
        <w:spacing w:before="120" w:after="240"/>
        <w:jc w:val="center"/>
      </w:pPr>
      <w:r>
        <w:drawing>
          <wp:inline xmlns:a="http://schemas.openxmlformats.org/drawingml/2006/main" xmlns:pic="http://schemas.openxmlformats.org/drawingml/2006/picture">
            <wp:extent cx="5029200" cy="2155371"/>
            <wp:docPr id="17" name="Picture 17"/>
            <wp:cNvGraphicFramePr>
              <a:graphicFrameLocks noChangeAspect="1"/>
            </wp:cNvGraphicFramePr>
            <a:graphic>
              <a:graphicData uri="http://schemas.openxmlformats.org/drawingml/2006/picture">
                <pic:pic>
                  <pic:nvPicPr>
                    <pic:cNvPr id="0" name="data-lineage-node-object-type.png"/>
                    <pic:cNvPicPr/>
                  </pic:nvPicPr>
                  <pic:blipFill>
                    <a:blip r:embed="rId25"/>
                    <a:stretch>
                      <a:fillRect/>
                    </a:stretch>
                  </pic:blipFill>
                  <pic:spPr>
                    <a:xfrm>
                      <a:off x="0" y="0"/>
                      <a:ext cx="5029200" cy="2155371"/>
                    </a:xfrm>
                    <a:prstGeom prst="rect"/>
                  </pic:spPr>
                </pic:pic>
              </a:graphicData>
            </a:graphic>
          </wp:inline>
        </w:drawing>
      </w:r>
    </w:p>
    <w:p>
      <w:pPr>
        <w:spacing w:line="360" w:lineRule="auto" w:after="120"/>
      </w:pPr>
      <w:r>
        <w:rPr>
          <w:rFonts w:ascii="微软雅黑" w:hAnsi="微软雅黑"/>
          <w:sz w:val="21"/>
        </w:rPr>
        <w:t xml:space="preserve">| </w:t>
      </w:r>
      <w:r>
        <w:rPr>
          <w:rFonts w:ascii="微软雅黑" w:hAnsi="微软雅黑"/>
          <w:b/>
          <w:sz w:val="21"/>
        </w:rPr>
        <w:t>Object类型</w:t>
      </w:r>
      <w:r>
        <w:rPr>
          <w:rFonts w:ascii="微软雅黑" w:hAnsi="微软雅黑"/>
          <w:sz w:val="21"/>
        </w:rPr>
        <w:t xml:space="preserve"> | Ontology </w:t>
      </w:r>
      <w:r>
        <w:rPr>
          <w:rFonts w:ascii="微软雅黑" w:hAnsi="微软雅黑"/>
          <w:color w:val="0066CC"/>
          <w:sz w:val="21"/>
          <w:u w:val="single"/>
        </w:rPr>
        <w:t>Object类型</w:t>
      </w:r>
      <w:r>
        <w:rPr>
          <w:rFonts w:ascii="微软雅黑" w:hAnsi="微软雅黑"/>
          <w:sz w:val="21"/>
        </w:rPr>
        <w:t>。节点的图标和颜色取决于每种Object类型的定义。当点击Object类型名称旁边的“链接”图标时，数据沿袭显示此Object类型与其他Object类型之间的关系。</w:t>
      </w:r>
    </w:p>
    <w:p>
      <w:pPr>
        <w:spacing w:after="40"/>
        <w:jc w:val="center"/>
      </w:pPr>
      <w:r>
        <w:rPr>
          <w:i/>
          <w:color w:val="646464"/>
          <w:sz w:val="18"/>
        </w:rPr>
        <w:t>图：工件节点</w:t>
      </w:r>
    </w:p>
    <w:p>
      <w:pPr>
        <w:spacing w:before="120" w:after="240"/>
        <w:jc w:val="center"/>
      </w:pPr>
      <w:r>
        <w:drawing>
          <wp:inline xmlns:a="http://schemas.openxmlformats.org/drawingml/2006/main" xmlns:pic="http://schemas.openxmlformats.org/drawingml/2006/picture">
            <wp:extent cx="5029200" cy="1481817"/>
            <wp:docPr id="18" name="Picture 18"/>
            <wp:cNvGraphicFramePr>
              <a:graphicFrameLocks noChangeAspect="1"/>
            </wp:cNvGraphicFramePr>
            <a:graphic>
              <a:graphicData uri="http://schemas.openxmlformats.org/drawingml/2006/picture">
                <pic:pic>
                  <pic:nvPicPr>
                    <pic:cNvPr id="0" name="data-lineage-node-artifact.png"/>
                    <pic:cNvPicPr/>
                  </pic:nvPicPr>
                  <pic:blipFill>
                    <a:blip r:embed="rId26"/>
                    <a:stretch>
                      <a:fillRect/>
                    </a:stretch>
                  </pic:blipFill>
                  <pic:spPr>
                    <a:xfrm>
                      <a:off x="0" y="0"/>
                      <a:ext cx="5029200" cy="1481817"/>
                    </a:xfrm>
                    <a:prstGeom prst="rect"/>
                  </pic:spPr>
                </pic:pic>
              </a:graphicData>
            </a:graphic>
          </wp:inline>
        </w:drawing>
      </w:r>
    </w:p>
    <w:p>
      <w:pPr>
        <w:spacing w:line="360" w:lineRule="auto" w:after="120"/>
      </w:pPr>
      <w:r>
        <w:rPr>
          <w:rFonts w:ascii="微软雅黑" w:hAnsi="微软雅黑"/>
          <w:sz w:val="21"/>
        </w:rPr>
        <w:t xml:space="preserve">| </w:t>
      </w:r>
      <w:r>
        <w:rPr>
          <w:rFonts w:ascii="微软雅黑" w:hAnsi="微软雅黑"/>
          <w:b/>
          <w:sz w:val="21"/>
        </w:rPr>
        <w:t>工件</w:t>
      </w:r>
      <w:r>
        <w:rPr>
          <w:rFonts w:ascii="微软雅黑" w:hAnsi="微软雅黑"/>
          <w:sz w:val="21"/>
        </w:rPr>
        <w:t xml:space="preserve"> | 数据沿袭展示不同的Foundry工件，如：</w:t>
      </w:r>
      <w:r>
        <w:rPr>
          <w:rFonts w:ascii="微软雅黑" w:hAnsi="微软雅黑"/>
          <w:color w:val="0066CC"/>
          <w:sz w:val="21"/>
          <w:u w:val="single"/>
        </w:rPr>
        <w:t>Contour</w:t>
      </w:r>
      <w:r>
        <w:rPr>
          <w:rFonts w:ascii="微软雅黑" w:hAnsi="微软雅黑"/>
          <w:sz w:val="21"/>
        </w:rPr>
        <w:t>分析，</w:t>
      </w:r>
      <w:r>
        <w:rPr>
          <w:rFonts w:ascii="微软雅黑" w:hAnsi="微软雅黑"/>
          <w:color w:val="0066CC"/>
          <w:sz w:val="21"/>
          <w:u w:val="single"/>
        </w:rPr>
        <w:t>报告</w:t>
      </w:r>
      <w:r>
        <w:rPr>
          <w:rFonts w:ascii="微软雅黑" w:hAnsi="微软雅黑"/>
          <w:sz w:val="21"/>
        </w:rPr>
        <w:t>等。节点的颜色取决于工件类型，工件类型在节点顶部标示。</w:t>
      </w:r>
    </w:p>
    <w:p>
      <w:pPr>
        <w:pStyle w:val="Heading2"/>
      </w:pPr>
      <w:r>
        <w:rPr>
          <w:rFonts w:ascii="微软雅黑" w:hAnsi="微软雅黑"/>
        </w:rPr>
        <w:t>节点指示器</w:t>
      </w:r>
    </w:p>
    <w:p>
      <w:pPr>
        <w:spacing w:line="360" w:lineRule="auto" w:after="120"/>
      </w:pPr>
      <w:r>
        <w:rPr>
          <w:rFonts w:ascii="微软雅黑" w:hAnsi="微软雅黑"/>
          <w:sz w:val="21"/>
        </w:rPr>
        <w:t>节点指示器出现在数据集节点的顶部，并提供有关资源的附加信息。</w:t>
      </w:r>
    </w:p>
    <w:p>
      <w:pPr>
        <w:spacing w:after="40"/>
        <w:jc w:val="center"/>
      </w:pPr>
      <w:r>
        <w:rPr>
          <w:i/>
          <w:color w:val="646464"/>
          <w:sz w:val="18"/>
        </w:rPr>
        <w:t>图：问题图标</w:t>
      </w:r>
    </w:p>
    <w:p>
      <w:pPr>
        <w:spacing w:before="120" w:after="240"/>
        <w:jc w:val="center"/>
      </w:pPr>
      <w:r>
        <w:drawing>
          <wp:inline xmlns:a="http://schemas.openxmlformats.org/drawingml/2006/main" xmlns:pic="http://schemas.openxmlformats.org/drawingml/2006/picture">
            <wp:extent cx="4114800" cy="4114800"/>
            <wp:docPr id="19" name="Picture 19"/>
            <wp:cNvGraphicFramePr>
              <a:graphicFrameLocks noChangeAspect="1"/>
            </wp:cNvGraphicFramePr>
            <a:graphic>
              <a:graphicData uri="http://schemas.openxmlformats.org/drawingml/2006/picture">
                <pic:pic>
                  <pic:nvPicPr>
                    <pic:cNvPr id="0" name="data-lineage-icon-issues-reported.png"/>
                    <pic:cNvPicPr/>
                  </pic:nvPicPr>
                  <pic:blipFill>
                    <a:blip r:embed="rId27"/>
                    <a:stretch>
                      <a:fillRect/>
                    </a:stretch>
                  </pic:blipFill>
                  <pic:spPr>
                    <a:xfrm>
                      <a:off x="0" y="0"/>
                      <a:ext cx="4114800" cy="4114800"/>
                    </a:xfrm>
                    <a:prstGeom prst="rect"/>
                  </pic:spPr>
                </pic:pic>
              </a:graphicData>
            </a:graphic>
          </wp:inline>
        </w:drawing>
      </w:r>
    </w:p>
    <w:p>
      <w:pPr>
        <w:spacing w:line="360" w:lineRule="auto" w:after="120"/>
      </w:pPr>
      <w:r>
        <w:rPr>
          <w:rFonts w:ascii="微软雅黑" w:hAnsi="微软雅黑"/>
          <w:sz w:val="21"/>
        </w:rPr>
        <w:t xml:space="preserve">| </w:t>
      </w:r>
      <w:r>
        <w:rPr>
          <w:rFonts w:ascii="微软雅黑" w:hAnsi="微软雅黑"/>
          <w:b/>
          <w:sz w:val="21"/>
        </w:rPr>
        <w:t>打开的问题</w:t>
      </w:r>
      <w:r>
        <w:rPr>
          <w:rFonts w:ascii="微软雅黑" w:hAnsi="微软雅黑"/>
          <w:sz w:val="21"/>
        </w:rPr>
        <w:t xml:space="preserve"> | 此指示器表示图中与节点相关的当前打开的问题。悬停在此信号上会显示打开问题的数量。</w:t>
      </w:r>
    </w:p>
    <w:p>
      <w:pPr>
        <w:spacing w:after="40"/>
        <w:jc w:val="center"/>
      </w:pPr>
      <w:r>
        <w:rPr>
          <w:i/>
          <w:color w:val="646464"/>
          <w:sz w:val="18"/>
        </w:rPr>
        <w:t>图：链接的Object图标</w:t>
      </w:r>
    </w:p>
    <w:p>
      <w:pPr>
        <w:spacing w:before="120" w:after="240"/>
        <w:jc w:val="center"/>
      </w:pPr>
      <w:r>
        <w:drawing>
          <wp:inline xmlns:a="http://schemas.openxmlformats.org/drawingml/2006/main" xmlns:pic="http://schemas.openxmlformats.org/drawingml/2006/picture">
            <wp:extent cx="4114800" cy="4114800"/>
            <wp:docPr id="20" name="Picture 20"/>
            <wp:cNvGraphicFramePr>
              <a:graphicFrameLocks noChangeAspect="1"/>
            </wp:cNvGraphicFramePr>
            <a:graphic>
              <a:graphicData uri="http://schemas.openxmlformats.org/drawingml/2006/picture">
                <pic:pic>
                  <pic:nvPicPr>
                    <pic:cNvPr id="0" name="data-lineage-icon-linked-objects.png"/>
                    <pic:cNvPicPr/>
                  </pic:nvPicPr>
                  <pic:blipFill>
                    <a:blip r:embed="rId28"/>
                    <a:stretch>
                      <a:fillRect/>
                    </a:stretch>
                  </pic:blipFill>
                  <pic:spPr>
                    <a:xfrm>
                      <a:off x="0" y="0"/>
                      <a:ext cx="4114800" cy="4114800"/>
                    </a:xfrm>
                    <a:prstGeom prst="rect"/>
                  </pic:spPr>
                </pic:pic>
              </a:graphicData>
            </a:graphic>
          </wp:inline>
        </w:drawing>
      </w:r>
    </w:p>
    <w:p>
      <w:pPr>
        <w:spacing w:line="360" w:lineRule="auto" w:after="120"/>
      </w:pPr>
      <w:r>
        <w:rPr>
          <w:rFonts w:ascii="微软雅黑" w:hAnsi="微软雅黑"/>
          <w:sz w:val="21"/>
        </w:rPr>
        <w:t xml:space="preserve">| </w:t>
      </w:r>
      <w:r>
        <w:rPr>
          <w:rFonts w:ascii="微软雅黑" w:hAnsi="微软雅黑"/>
          <w:b/>
          <w:sz w:val="21"/>
        </w:rPr>
        <w:t>定义Object类型</w:t>
      </w:r>
      <w:r>
        <w:rPr>
          <w:rFonts w:ascii="微软雅黑" w:hAnsi="微软雅黑"/>
          <w:sz w:val="21"/>
        </w:rPr>
        <w:t xml:space="preserve"> | 此指示器出现在用于定义Ontology Object类型的数据集上。悬停在右箭头上可以显示那些链接的Object类型。</w:t>
      </w:r>
      <w:r>
        <w:rPr>
          <w:rFonts w:ascii="微软雅黑" w:hAnsi="微软雅黑"/>
          <w:color w:val="0066CC"/>
          <w:sz w:val="21"/>
          <w:u w:val="single"/>
        </w:rPr>
        <w:t>了解更多关于Object类型的信息。</w:t>
      </w:r>
    </w:p>
    <w:p>
      <w:pPr>
        <w:spacing w:after="40"/>
        <w:jc w:val="center"/>
      </w:pPr>
      <w:r>
        <w:rPr>
          <w:i/>
          <w:color w:val="646464"/>
          <w:sz w:val="18"/>
        </w:rPr>
        <w:t>图：同步图标</w:t>
      </w:r>
    </w:p>
    <w:p>
      <w:pPr>
        <w:spacing w:before="120" w:after="240"/>
        <w:jc w:val="center"/>
      </w:pPr>
      <w:r>
        <w:drawing>
          <wp:inline xmlns:a="http://schemas.openxmlformats.org/drawingml/2006/main" xmlns:pic="http://schemas.openxmlformats.org/drawingml/2006/picture">
            <wp:extent cx="4114800" cy="4114800"/>
            <wp:docPr id="21" name="Picture 21"/>
            <wp:cNvGraphicFramePr>
              <a:graphicFrameLocks noChangeAspect="1"/>
            </wp:cNvGraphicFramePr>
            <a:graphic>
              <a:graphicData uri="http://schemas.openxmlformats.org/drawingml/2006/picture">
                <pic:pic>
                  <pic:nvPicPr>
                    <pic:cNvPr id="0" name="data-lineage-icon-syncs.png"/>
                    <pic:cNvPicPr/>
                  </pic:nvPicPr>
                  <pic:blipFill>
                    <a:blip r:embed="rId29"/>
                    <a:stretch>
                      <a:fillRect/>
                    </a:stretch>
                  </pic:blipFill>
                  <pic:spPr>
                    <a:xfrm>
                      <a:off x="0" y="0"/>
                      <a:ext cx="4114800" cy="4114800"/>
                    </a:xfrm>
                    <a:prstGeom prst="rect"/>
                  </pic:spPr>
                </pic:pic>
              </a:graphicData>
            </a:graphic>
          </wp:inline>
        </w:drawing>
      </w:r>
    </w:p>
    <w:p>
      <w:pPr>
        <w:spacing w:line="360" w:lineRule="auto" w:after="120"/>
      </w:pPr>
      <w:r>
        <w:rPr>
          <w:rFonts w:ascii="微软雅黑" w:hAnsi="微软雅黑"/>
          <w:sz w:val="21"/>
        </w:rPr>
        <w:t xml:space="preserve">| </w:t>
      </w:r>
      <w:r>
        <w:rPr>
          <w:rFonts w:ascii="微软雅黑" w:hAnsi="微软雅黑"/>
          <w:b/>
          <w:sz w:val="21"/>
        </w:rPr>
        <w:t>同步</w:t>
      </w:r>
      <w:r>
        <w:rPr>
          <w:rFonts w:ascii="微软雅黑" w:hAnsi="微软雅黑"/>
          <w:sz w:val="21"/>
        </w:rPr>
        <w:t xml:space="preserve"> | 带有此指示器的数据集与其他数据库或系统同步。您可以通过选择节点并打开属性面板，或在数据集预览中打开“详细信息”选项卡（右键单击节点并点击</w:t>
      </w:r>
      <w:r>
        <w:rPr>
          <w:rFonts w:ascii="微软雅黑" w:hAnsi="微软雅黑"/>
          <w:b/>
          <w:sz w:val="21"/>
        </w:rPr>
        <w:t>打开</w:t>
      </w:r>
      <w:r>
        <w:rPr>
          <w:rFonts w:ascii="微软雅黑" w:hAnsi="微软雅黑"/>
          <w:sz w:val="21"/>
        </w:rPr>
        <w:t>）来查看这些同步。</w:t>
      </w:r>
    </w:p>
    <w:p>
      <w:pPr>
        <w:spacing w:after="40"/>
        <w:jc w:val="center"/>
      </w:pPr>
      <w:r>
        <w:rPr>
          <w:i/>
          <w:color w:val="646464"/>
          <w:sz w:val="18"/>
        </w:rPr>
        <w:t>图：回收站图标</w:t>
      </w:r>
    </w:p>
    <w:p>
      <w:pPr>
        <w:spacing w:before="120" w:after="240"/>
        <w:jc w:val="center"/>
      </w:pPr>
      <w:r>
        <w:drawing>
          <wp:inline xmlns:a="http://schemas.openxmlformats.org/drawingml/2006/main" xmlns:pic="http://schemas.openxmlformats.org/drawingml/2006/picture">
            <wp:extent cx="4114800" cy="4114800"/>
            <wp:docPr id="22" name="Picture 22"/>
            <wp:cNvGraphicFramePr>
              <a:graphicFrameLocks noChangeAspect="1"/>
            </wp:cNvGraphicFramePr>
            <a:graphic>
              <a:graphicData uri="http://schemas.openxmlformats.org/drawingml/2006/picture">
                <pic:pic>
                  <pic:nvPicPr>
                    <pic:cNvPr id="0" name="data-lineage-icon-trashed.png"/>
                    <pic:cNvPicPr/>
                  </pic:nvPicPr>
                  <pic:blipFill>
                    <a:blip r:embed="rId30"/>
                    <a:stretch>
                      <a:fillRect/>
                    </a:stretch>
                  </pic:blipFill>
                  <pic:spPr>
                    <a:xfrm>
                      <a:off x="0" y="0"/>
                      <a:ext cx="4114800" cy="4114800"/>
                    </a:xfrm>
                    <a:prstGeom prst="rect"/>
                  </pic:spPr>
                </pic:pic>
              </a:graphicData>
            </a:graphic>
          </wp:inline>
        </w:drawing>
      </w:r>
    </w:p>
    <w:p>
      <w:pPr>
        <w:spacing w:line="360" w:lineRule="auto" w:after="120"/>
      </w:pPr>
      <w:r>
        <w:rPr>
          <w:rFonts w:ascii="微软雅黑" w:hAnsi="微软雅黑"/>
          <w:sz w:val="21"/>
        </w:rPr>
        <w:t xml:space="preserve">| </w:t>
      </w:r>
      <w:r>
        <w:rPr>
          <w:rFonts w:ascii="微软雅黑" w:hAnsi="微软雅黑"/>
          <w:b/>
          <w:sz w:val="21"/>
        </w:rPr>
        <w:t>回收站</w:t>
      </w:r>
      <w:r>
        <w:rPr>
          <w:rFonts w:ascii="微软雅黑" w:hAnsi="微软雅黑"/>
          <w:sz w:val="21"/>
        </w:rPr>
        <w:t xml:space="preserve"> | 此指示器出现在表示已删除数据集或工件的节点上。删除的节点也会被局部淡化，并且它们的名称被划掉。</w:t>
      </w:r>
    </w:p>
    <w:p>
      <w:r>
        <w:br w:type="page"/>
      </w:r>
    </w:p>
    <w:p>
      <w:pPr>
        <w:pStyle w:val="Heading1"/>
      </w:pPr>
      <w:r>
        <w:rPr>
          <w:rFonts w:ascii="微软雅黑" w:hAnsi="微软雅黑"/>
        </w:rPr>
        <w:t>探索工件和Ontology实体</w:t>
      </w:r>
    </w:p>
    <w:p>
      <w:pPr>
        <w:spacing w:line="360" w:lineRule="auto" w:after="120"/>
      </w:pPr>
      <w:r>
        <w:rPr>
          <w:rFonts w:ascii="微软雅黑" w:hAnsi="微软雅黑"/>
          <w:sz w:val="21"/>
        </w:rPr>
        <w:t># 探索工件和Ontology实体</w:t>
      </w:r>
    </w:p>
    <w:p>
      <w:pPr>
        <w:spacing w:line="360" w:lineRule="auto" w:after="120"/>
      </w:pPr>
      <w:r>
        <w:rPr>
          <w:rFonts w:ascii="微软雅黑" w:hAnsi="微软雅黑"/>
          <w:sz w:val="21"/>
        </w:rPr>
        <w:t>您可以在数据沿袭中找到与您的数据集相关的Foundry工件和Ontology实体。数据沿袭界面允许您直接导航到这些资源，并查看它们如何融入您的Ontology。</w:t>
      </w:r>
    </w:p>
    <w:p>
      <w:pPr>
        <w:pStyle w:val="Heading2"/>
      </w:pPr>
      <w:r>
        <w:rPr>
          <w:rFonts w:ascii="微软雅黑" w:hAnsi="微软雅黑"/>
        </w:rPr>
        <w:t>查找相关工件</w:t>
      </w:r>
    </w:p>
    <w:p>
      <w:pPr>
        <w:spacing w:line="360" w:lineRule="auto" w:after="120"/>
      </w:pPr>
      <w:r>
        <w:rPr>
          <w:rFonts w:ascii="微软雅黑" w:hAnsi="微软雅黑"/>
          <w:sz w:val="21"/>
        </w:rPr>
        <w:t>在您的数据沿袭图中，选择一个数据集。然后，在右侧边栏中选择</w:t>
      </w:r>
      <w:r>
        <w:rPr>
          <w:rFonts w:ascii="微软雅黑" w:hAnsi="微软雅黑"/>
          <w:b/>
          <w:sz w:val="21"/>
        </w:rPr>
        <w:t>相关项</w:t>
      </w:r>
      <w:r>
        <w:rPr>
          <w:rFonts w:ascii="微软雅黑" w:hAnsi="微软雅黑"/>
          <w:sz w:val="21"/>
        </w:rPr>
        <w:t>以展开</w:t>
      </w:r>
      <w:r>
        <w:rPr>
          <w:rFonts w:ascii="微软雅黑" w:hAnsi="微软雅黑"/>
          <w:b/>
          <w:sz w:val="21"/>
        </w:rPr>
        <w:t>相关工件</w:t>
      </w:r>
      <w:r>
        <w:rPr>
          <w:rFonts w:ascii="微软雅黑" w:hAnsi="微软雅黑"/>
          <w:sz w:val="21"/>
        </w:rPr>
        <w:t>面板。</w:t>
      </w:r>
      <w:r>
        <w:rPr>
          <w:rFonts w:ascii="微软雅黑" w:hAnsi="微软雅黑"/>
          <w:b/>
          <w:sz w:val="21"/>
        </w:rPr>
        <w:t>相关项</w:t>
      </w:r>
      <w:r>
        <w:rPr>
          <w:rFonts w:ascii="微软雅黑" w:hAnsi="微软雅黑"/>
          <w:sz w:val="21"/>
        </w:rPr>
        <w:t>图标将显示一个徽章，其中包含与所选数据集相关的工件数量。在工件面板中，您可以看到整个Foundry中相关资源的列表，包括Contour可视化和Slate应用程序。</w:t>
      </w:r>
    </w:p>
    <w:p>
      <w:pPr>
        <w:spacing w:after="40"/>
        <w:jc w:val="center"/>
      </w:pPr>
      <w:r>
        <w:rPr>
          <w:i/>
          <w:color w:val="646464"/>
          <w:sz w:val="18"/>
        </w:rPr>
        <w:t>图：查找相关数据集工件</w:t>
      </w:r>
    </w:p>
    <w:p>
      <w:pPr>
        <w:spacing w:before="120" w:after="240"/>
        <w:jc w:val="center"/>
      </w:pPr>
      <w:r>
        <w:drawing>
          <wp:inline xmlns:a="http://schemas.openxmlformats.org/drawingml/2006/main" xmlns:pic="http://schemas.openxmlformats.org/drawingml/2006/picture">
            <wp:extent cx="2837965" cy="4114800"/>
            <wp:docPr id="23" name="Picture 23"/>
            <wp:cNvGraphicFramePr>
              <a:graphicFrameLocks noChangeAspect="1"/>
            </wp:cNvGraphicFramePr>
            <a:graphic>
              <a:graphicData uri="http://schemas.openxmlformats.org/drawingml/2006/picture">
                <pic:pic>
                  <pic:nvPicPr>
                    <pic:cNvPr id="0" name="related-artifacts.png"/>
                    <pic:cNvPicPr/>
                  </pic:nvPicPr>
                  <pic:blipFill>
                    <a:blip r:embed="rId31"/>
                    <a:stretch>
                      <a:fillRect/>
                    </a:stretch>
                  </pic:blipFill>
                  <pic:spPr>
                    <a:xfrm>
                      <a:off x="0" y="0"/>
                      <a:ext cx="2837965" cy="4114800"/>
                    </a:xfrm>
                    <a:prstGeom prst="rect"/>
                  </pic:spPr>
                </pic:pic>
              </a:graphicData>
            </a:graphic>
          </wp:inline>
        </w:drawing>
      </w:r>
    </w:p>
    <w:p>
      <w:pPr>
        <w:spacing w:line="360" w:lineRule="auto" w:after="120"/>
      </w:pPr>
      <w:r>
        <w:rPr>
          <w:rFonts w:ascii="微软雅黑" w:hAnsi="微软雅黑"/>
          <w:sz w:val="21"/>
        </w:rPr>
        <w:t>单击资源旁边的节点图标以放大相关数据集，或单击资源以在新标签中打开相应应用程序。您可以筛选相关工件的列表以包含不同的项目类型，并按最旧、最新、名称、路径或最后修改时间排序列表。</w:t>
      </w:r>
    </w:p>
    <w:p>
      <w:pPr>
        <w:pStyle w:val="Heading2"/>
      </w:pPr>
      <w:r>
        <w:rPr>
          <w:rFonts w:ascii="微软雅黑" w:hAnsi="微软雅黑"/>
        </w:rPr>
        <w:t>查找Ontology实体</w:t>
      </w:r>
    </w:p>
    <w:p>
      <w:pPr>
        <w:spacing w:line="360" w:lineRule="auto" w:after="120"/>
      </w:pPr>
      <w:r>
        <w:rPr>
          <w:rFonts w:ascii="微软雅黑" w:hAnsi="微软雅黑"/>
          <w:sz w:val="21"/>
        </w:rPr>
        <w:t>通过选择数据集并在右侧边栏中打开</w:t>
      </w:r>
      <w:r>
        <w:rPr>
          <w:rFonts w:ascii="微软雅黑" w:hAnsi="微软雅黑"/>
          <w:b/>
          <w:sz w:val="21"/>
        </w:rPr>
        <w:t>查看节点属性</w:t>
      </w:r>
      <w:r>
        <w:rPr>
          <w:rFonts w:ascii="微软雅黑" w:hAnsi="微软雅黑"/>
          <w:sz w:val="21"/>
        </w:rPr>
        <w:t>面板，在您的沿袭图中查找由数据集定义的Object类型。</w:t>
      </w:r>
    </w:p>
    <w:p>
      <w:pPr>
        <w:spacing w:after="40"/>
        <w:jc w:val="center"/>
      </w:pPr>
      <w:r>
        <w:rPr>
          <w:i/>
          <w:color w:val="646464"/>
          <w:sz w:val="18"/>
        </w:rPr>
        <w:t>图：在数据沿袭中查看节点属性</w:t>
      </w:r>
    </w:p>
    <w:p>
      <w:pPr>
        <w:spacing w:before="120" w:after="240"/>
        <w:jc w:val="center"/>
      </w:pPr>
      <w:r>
        <w:drawing>
          <wp:inline xmlns:a="http://schemas.openxmlformats.org/drawingml/2006/main" xmlns:pic="http://schemas.openxmlformats.org/drawingml/2006/picture">
            <wp:extent cx="3582848" cy="4114800"/>
            <wp:docPr id="24" name="Picture 24"/>
            <wp:cNvGraphicFramePr>
              <a:graphicFrameLocks noChangeAspect="1"/>
            </wp:cNvGraphicFramePr>
            <a:graphic>
              <a:graphicData uri="http://schemas.openxmlformats.org/drawingml/2006/picture">
                <pic:pic>
                  <pic:nvPicPr>
                    <pic:cNvPr id="0" name="view-node-properties.png"/>
                    <pic:cNvPicPr/>
                  </pic:nvPicPr>
                  <pic:blipFill>
                    <a:blip r:embed="rId32"/>
                    <a:stretch>
                      <a:fillRect/>
                    </a:stretch>
                  </pic:blipFill>
                  <pic:spPr>
                    <a:xfrm>
                      <a:off x="0" y="0"/>
                      <a:ext cx="3582848" cy="4114800"/>
                    </a:xfrm>
                    <a:prstGeom prst="rect"/>
                  </pic:spPr>
                </pic:pic>
              </a:graphicData>
            </a:graphic>
          </wp:inline>
        </w:drawing>
      </w:r>
    </w:p>
    <w:p>
      <w:pPr>
        <w:spacing w:line="360" w:lineRule="auto" w:after="120"/>
      </w:pPr>
      <w:r>
        <w:rPr>
          <w:rFonts w:ascii="微软雅黑" w:hAnsi="微软雅黑"/>
          <w:sz w:val="21"/>
        </w:rPr>
        <w:t>在</w:t>
      </w:r>
      <w:r>
        <w:rPr>
          <w:rFonts w:ascii="微软雅黑" w:hAnsi="微软雅黑"/>
          <w:b/>
          <w:sz w:val="21"/>
        </w:rPr>
        <w:t>关于</w:t>
      </w:r>
      <w:r>
        <w:rPr>
          <w:rFonts w:ascii="微软雅黑" w:hAnsi="微软雅黑"/>
          <w:sz w:val="21"/>
        </w:rPr>
        <w:t>选项卡中，您将看到使用所选数据集创建的任何Object类型。单击Object类型旁边的</w:t>
      </w:r>
      <w:r>
        <w:rPr>
          <w:rFonts w:ascii="微软雅黑" w:hAnsi="微软雅黑"/>
          <w:b/>
          <w:sz w:val="21"/>
        </w:rPr>
        <w:t>设置</w:t>
      </w:r>
      <w:r>
        <w:rPr>
          <w:rFonts w:ascii="微软雅黑" w:hAnsi="微软雅黑"/>
          <w:sz w:val="21"/>
        </w:rPr>
        <w:t>图标以在新的Ontology管理器标签中查看其配置。</w:t>
      </w:r>
    </w:p>
    <w:p>
      <w:pPr>
        <w:spacing w:after="40"/>
        <w:jc w:val="center"/>
      </w:pPr>
      <w:r>
        <w:rPr>
          <w:i/>
          <w:color w:val="646464"/>
          <w:sz w:val="18"/>
        </w:rPr>
        <w:t>图：在数据沿袭中查看Ontology实体</w:t>
      </w:r>
    </w:p>
    <w:p>
      <w:pPr>
        <w:spacing w:before="120" w:after="240"/>
        <w:jc w:val="center"/>
      </w:pPr>
      <w:r>
        <w:drawing>
          <wp:inline xmlns:a="http://schemas.openxmlformats.org/drawingml/2006/main" xmlns:pic="http://schemas.openxmlformats.org/drawingml/2006/picture">
            <wp:extent cx="5029200" cy="1619402"/>
            <wp:docPr id="25" name="Picture 25"/>
            <wp:cNvGraphicFramePr>
              <a:graphicFrameLocks noChangeAspect="1"/>
            </wp:cNvGraphicFramePr>
            <a:graphic>
              <a:graphicData uri="http://schemas.openxmlformats.org/drawingml/2006/picture">
                <pic:pic>
                  <pic:nvPicPr>
                    <pic:cNvPr id="0" name="ontology-entity.png"/>
                    <pic:cNvPicPr/>
                  </pic:nvPicPr>
                  <pic:blipFill>
                    <a:blip r:embed="rId33"/>
                    <a:stretch>
                      <a:fillRect/>
                    </a:stretch>
                  </pic:blipFill>
                  <pic:spPr>
                    <a:xfrm>
                      <a:off x="0" y="0"/>
                      <a:ext cx="5029200" cy="1619402"/>
                    </a:xfrm>
                    <a:prstGeom prst="rect"/>
                  </pic:spPr>
                </pic:pic>
              </a:graphicData>
            </a:graphic>
          </wp:inline>
        </w:drawing>
      </w:r>
    </w:p>
    <w:p>
      <w:pPr>
        <w:spacing w:line="360" w:lineRule="auto" w:after="120"/>
      </w:pPr>
      <w:r>
        <w:rPr>
          <w:rFonts w:ascii="微软雅黑" w:hAnsi="微软雅黑"/>
          <w:sz w:val="21"/>
        </w:rPr>
        <w:t>您还可以使用右侧边栏中的</w:t>
      </w:r>
      <w:r>
        <w:rPr>
          <w:rFonts w:ascii="微软雅黑" w:hAnsi="微软雅黑"/>
          <w:b/>
          <w:sz w:val="21"/>
        </w:rPr>
        <w:t>搜索Foundry</w:t>
      </w:r>
      <w:r>
        <w:rPr>
          <w:rFonts w:ascii="微软雅黑" w:hAnsi="微软雅黑"/>
          <w:sz w:val="21"/>
        </w:rPr>
        <w:t>工具将Object类型添加到您的数据沿袭中。使用基本或高级搜索查找Object类型，并从列表中选择它以将其添加到您的图表中。然后，您可以查看与Object类型相关的链接类型，并使用图表可视化您的数据集与新添加的Object类型之间的连接。</w:t>
      </w:r>
    </w:p>
    <w:p>
      <w:pPr>
        <w:spacing w:after="40"/>
        <w:jc w:val="center"/>
      </w:pPr>
      <w:r>
        <w:rPr>
          <w:i/>
          <w:color w:val="646464"/>
          <w:sz w:val="18"/>
        </w:rPr>
        <w:t>图：查看Object类型和数据集连接</w:t>
      </w:r>
    </w:p>
    <w:p>
      <w:pPr>
        <w:spacing w:before="120" w:after="240"/>
        <w:jc w:val="center"/>
      </w:pPr>
      <w:r>
        <w:drawing>
          <wp:inline xmlns:a="http://schemas.openxmlformats.org/drawingml/2006/main" xmlns:pic="http://schemas.openxmlformats.org/drawingml/2006/picture">
            <wp:extent cx="5029200" cy="3075114"/>
            <wp:docPr id="26" name="Picture 26"/>
            <wp:cNvGraphicFramePr>
              <a:graphicFrameLocks noChangeAspect="1"/>
            </wp:cNvGraphicFramePr>
            <a:graphic>
              <a:graphicData uri="http://schemas.openxmlformats.org/drawingml/2006/picture">
                <pic:pic>
                  <pic:nvPicPr>
                    <pic:cNvPr id="0" name="object-type-dataset-flow.gif"/>
                    <pic:cNvPicPr/>
                  </pic:nvPicPr>
                  <pic:blipFill>
                    <a:blip r:embed="rId34"/>
                    <a:stretch>
                      <a:fillRect/>
                    </a:stretch>
                  </pic:blipFill>
                  <pic:spPr>
                    <a:xfrm>
                      <a:off x="0" y="0"/>
                      <a:ext cx="5029200" cy="3075114"/>
                    </a:xfrm>
                    <a:prstGeom prst="rect"/>
                  </pic:spPr>
                </pic:pic>
              </a:graphicData>
            </a:graphic>
          </wp:inline>
        </w:drawing>
      </w:r>
    </w:p>
    <w:p>
      <w:pPr>
        <w:spacing w:line="360" w:lineRule="auto" w:after="120"/>
      </w:pPr>
      <w:r>
        <w:rPr>
          <w:rFonts w:ascii="微软雅黑" w:hAnsi="微软雅黑"/>
          <w:color w:val="0066CC"/>
          <w:sz w:val="21"/>
          <w:u w:val="single"/>
        </w:rPr>
        <w:t>了解有关创建Ontology的更多信息。</w:t>
      </w:r>
    </w:p>
    <w:p>
      <w:r>
        <w:br w:type="page"/>
      </w:r>
    </w:p>
    <w:p>
      <w:pPr>
        <w:pStyle w:val="Heading1"/>
      </w:pPr>
      <w:r>
        <w:rPr>
          <w:rFonts w:ascii="微软雅黑" w:hAnsi="微软雅黑"/>
        </w:rPr>
        <w:t>探索数据沿袭</w:t>
      </w:r>
    </w:p>
    <w:p>
      <w:pPr>
        <w:spacing w:line="360" w:lineRule="auto" w:after="120"/>
      </w:pPr>
      <w:r>
        <w:rPr>
          <w:rFonts w:ascii="微软雅黑" w:hAnsi="微软雅黑"/>
          <w:sz w:val="21"/>
        </w:rPr>
        <w:t># 探索数据沿袭</w:t>
      </w:r>
    </w:p>
    <w:p>
      <w:pPr>
        <w:spacing w:line="360" w:lineRule="auto" w:after="120"/>
      </w:pPr>
      <w:r>
        <w:rPr>
          <w:rFonts w:ascii="微软雅黑" w:hAnsi="微软雅黑"/>
          <w:sz w:val="21"/>
        </w:rPr>
        <w:t>数据沿袭帮助您了解数据的来源。在数据沿袭应用中，有多种方式可以探索数据管道。考虑一种常见的路径：</w:t>
      </w:r>
    </w:p>
    <w:p>
      <w:pPr>
        <w:pStyle w:val="ListNumber"/>
        <w:spacing w:line="360" w:lineRule="auto" w:after="120"/>
      </w:pPr>
      <w:r>
        <w:rPr>
          <w:rFonts w:ascii="微软雅黑" w:hAnsi="微软雅黑"/>
          <w:sz w:val="21"/>
        </w:rPr>
        <w:t>使用</w:t>
      </w:r>
      <w:r>
        <w:rPr>
          <w:rFonts w:ascii="微软雅黑" w:hAnsi="微软雅黑"/>
          <w:b/>
          <w:sz w:val="21"/>
        </w:rPr>
        <w:t>搜索</w:t>
      </w:r>
      <w:r>
        <w:rPr>
          <w:rFonts w:ascii="微软雅黑" w:hAnsi="微软雅黑"/>
          <w:sz w:val="21"/>
        </w:rPr>
        <w:t>助手，找到您的资源（例如，数据集或Object类型）并将其添加到图中。</w:t>
      </w:r>
    </w:p>
    <w:p>
      <w:pPr>
        <w:pStyle w:val="ListNumber"/>
        <w:spacing w:line="360" w:lineRule="auto" w:after="120"/>
      </w:pPr>
      <w:r>
        <w:rPr>
          <w:rFonts w:ascii="微软雅黑" w:hAnsi="微软雅黑"/>
          <w:sz w:val="21"/>
        </w:rPr>
        <w:t>点击节点的左箭头以显示资源的直接父级。</w:t>
      </w:r>
    </w:p>
    <w:p>
      <w:pPr>
        <w:spacing w:after="40"/>
        <w:jc w:val="center"/>
      </w:pPr>
      <w:r>
        <w:rPr>
          <w:i/>
          <w:color w:val="646464"/>
          <w:sz w:val="18"/>
        </w:rPr>
        <w:t>图：展开父级</w:t>
      </w:r>
    </w:p>
    <w:p>
      <w:pPr>
        <w:spacing w:before="120" w:after="240"/>
        <w:jc w:val="center"/>
      </w:pPr>
      <w:r>
        <w:drawing>
          <wp:inline xmlns:a="http://schemas.openxmlformats.org/drawingml/2006/main" xmlns:pic="http://schemas.openxmlformats.org/drawingml/2006/picture">
            <wp:extent cx="5029200" cy="2875935"/>
            <wp:docPr id="27" name="Picture 27"/>
            <wp:cNvGraphicFramePr>
              <a:graphicFrameLocks noChangeAspect="1"/>
            </wp:cNvGraphicFramePr>
            <a:graphic>
              <a:graphicData uri="http://schemas.openxmlformats.org/drawingml/2006/picture">
                <pic:pic>
                  <pic:nvPicPr>
                    <pic:cNvPr id="0" name="data-lineage-see-parents.png"/>
                    <pic:cNvPicPr/>
                  </pic:nvPicPr>
                  <pic:blipFill>
                    <a:blip r:embed="rId35"/>
                    <a:stretch>
                      <a:fillRect/>
                    </a:stretch>
                  </pic:blipFill>
                  <pic:spPr>
                    <a:xfrm>
                      <a:off x="0" y="0"/>
                      <a:ext cx="5029200" cy="2875935"/>
                    </a:xfrm>
                    <a:prstGeom prst="rect"/>
                  </pic:spPr>
                </pic:pic>
              </a:graphicData>
            </a:graphic>
          </wp:inline>
        </w:drawing>
      </w:r>
    </w:p>
    <w:p>
      <w:pPr>
        <w:pStyle w:val="ListNumber"/>
        <w:spacing w:line="360" w:lineRule="auto" w:after="120"/>
      </w:pPr>
      <w:r>
        <w:rPr>
          <w:rFonts w:ascii="微软雅黑" w:hAnsi="微软雅黑"/>
          <w:sz w:val="21"/>
        </w:rPr>
        <w:t>若要扩展您的图形，请在图中选择下一个资源并点击图形工具中的</w:t>
      </w:r>
      <w:r>
        <w:rPr>
          <w:rFonts w:ascii="微软雅黑" w:hAnsi="微软雅黑"/>
          <w:b/>
          <w:sz w:val="21"/>
        </w:rPr>
        <w:t>展开</w:t>
      </w:r>
      <w:r>
        <w:rPr>
          <w:rFonts w:ascii="微软雅黑" w:hAnsi="微软雅黑"/>
          <w:sz w:val="21"/>
        </w:rPr>
        <w:t>按钮。</w:t>
      </w:r>
    </w:p>
    <w:p>
      <w:pPr>
        <w:pStyle w:val="ListNumber"/>
        <w:spacing w:line="360" w:lineRule="auto" w:after="120"/>
      </w:pPr>
      <w:r>
        <w:rPr>
          <w:rFonts w:ascii="微软雅黑" w:hAnsi="微软雅黑"/>
          <w:sz w:val="21"/>
        </w:rPr>
        <w:t>点击折角按钮以定义要显示的层级数。点击双折角以扩展到原始数据（或扩展到最终的后代）。</w:t>
      </w:r>
    </w:p>
    <w:p>
      <w:pPr>
        <w:spacing w:line="360" w:lineRule="auto" w:after="120"/>
      </w:pPr>
      <w:r>
        <w:rPr>
          <w:rFonts w:ascii="微软雅黑" w:hAnsi="微软雅黑"/>
          <w:sz w:val="21"/>
        </w:rPr>
        <w:t>:::callout</w:t>
      </w:r>
    </w:p>
    <w:p>
      <w:pPr>
        <w:spacing w:line="360" w:lineRule="auto" w:after="120"/>
      </w:pPr>
      <w:r>
        <w:rPr>
          <w:rFonts w:ascii="微软雅黑" w:hAnsi="微软雅黑"/>
          <w:sz w:val="21"/>
        </w:rPr>
        <w:t>同时添加过多节点可能会影响图形的性能和可用性。通过检查</w:t>
      </w:r>
      <w:r>
        <w:rPr>
          <w:rFonts w:ascii="微软雅黑" w:hAnsi="微软雅黑"/>
          <w:b/>
          <w:sz w:val="21"/>
        </w:rPr>
        <w:t>展开</w:t>
      </w:r>
      <w:r>
        <w:rPr>
          <w:rFonts w:ascii="微软雅黑" w:hAnsi="微软雅黑"/>
          <w:sz w:val="21"/>
        </w:rPr>
        <w:t>工具中的节点计数保持一个可管理的节点数量。</w:t>
      </w:r>
    </w:p>
    <w:p>
      <w:pPr>
        <w:spacing w:after="40"/>
        <w:jc w:val="center"/>
      </w:pPr>
      <w:r>
        <w:rPr>
          <w:i/>
          <w:color w:val="646464"/>
          <w:sz w:val="18"/>
        </w:rPr>
        <w:t>图：全部展开</w:t>
      </w:r>
    </w:p>
    <w:p>
      <w:pPr>
        <w:spacing w:before="120" w:after="240"/>
        <w:jc w:val="center"/>
      </w:pPr>
      <w:r>
        <w:drawing>
          <wp:inline xmlns:a="http://schemas.openxmlformats.org/drawingml/2006/main" xmlns:pic="http://schemas.openxmlformats.org/drawingml/2006/picture">
            <wp:extent cx="5029200" cy="3194705"/>
            <wp:docPr id="28" name="Picture 28"/>
            <wp:cNvGraphicFramePr>
              <a:graphicFrameLocks noChangeAspect="1"/>
            </wp:cNvGraphicFramePr>
            <a:graphic>
              <a:graphicData uri="http://schemas.openxmlformats.org/drawingml/2006/picture">
                <pic:pic>
                  <pic:nvPicPr>
                    <pic:cNvPr id="0" name="data-lineage-expand-all.png"/>
                    <pic:cNvPicPr/>
                  </pic:nvPicPr>
                  <pic:blipFill>
                    <a:blip r:embed="rId36"/>
                    <a:stretch>
                      <a:fillRect/>
                    </a:stretch>
                  </pic:blipFill>
                  <pic:spPr>
                    <a:xfrm>
                      <a:off x="0" y="0"/>
                      <a:ext cx="5029200" cy="3194705"/>
                    </a:xfrm>
                    <a:prstGeom prst="rect"/>
                  </pic:spPr>
                </pic:pic>
              </a:graphicData>
            </a:graphic>
          </wp:inline>
        </w:drawing>
      </w:r>
    </w:p>
    <w:p>
      <w:pPr>
        <w:spacing w:line="360" w:lineRule="auto" w:after="120"/>
      </w:pPr>
      <w:r>
        <w:rPr>
          <w:rFonts w:ascii="微软雅黑" w:hAnsi="微软雅黑"/>
          <w:sz w:val="21"/>
        </w:rPr>
        <w:t>通过选择</w:t>
      </w:r>
      <w:r>
        <w:rPr>
          <w:rFonts w:ascii="微软雅黑" w:hAnsi="微软雅黑"/>
          <w:b/>
          <w:sz w:val="21"/>
        </w:rPr>
        <w:t>展开</w:t>
      </w:r>
      <w:r>
        <w:rPr>
          <w:rFonts w:ascii="微软雅黑" w:hAnsi="微软雅黑"/>
          <w:sz w:val="21"/>
        </w:rPr>
        <w:t>按钮并添加资源之间的所有节点或所有共同的祖先/后代，可以在图中找到两个节点之间的关系。</w:t>
      </w:r>
    </w:p>
    <w:p>
      <w:pPr>
        <w:pStyle w:val="ListNumber"/>
        <w:spacing w:line="360" w:lineRule="auto" w:after="120"/>
      </w:pPr>
      <w:r>
        <w:rPr>
          <w:rFonts w:ascii="微软雅黑" w:hAnsi="微软雅黑"/>
          <w:sz w:val="21"/>
        </w:rPr>
        <w:t>通过选择数据集并使用底部面板显示数据预览，获取有关某个数据集的更多信息。</w:t>
      </w:r>
    </w:p>
    <w:p>
      <w:pPr>
        <w:pStyle w:val="ListNumber"/>
        <w:spacing w:line="360" w:lineRule="auto" w:after="120"/>
      </w:pPr>
      <w:r>
        <w:rPr>
          <w:rFonts w:ascii="微软雅黑" w:hAnsi="微软雅黑"/>
          <w:sz w:val="21"/>
        </w:rPr>
        <w:t>点击</w:t>
      </w:r>
      <w:r>
        <w:rPr>
          <w:rFonts w:ascii="微软雅黑" w:hAnsi="微软雅黑"/>
          <w:b/>
          <w:sz w:val="21"/>
        </w:rPr>
        <w:t>代码</w:t>
      </w:r>
      <w:r>
        <w:rPr>
          <w:rFonts w:ascii="微软雅黑" w:hAnsi="微软雅黑"/>
          <w:sz w:val="21"/>
        </w:rPr>
        <w:t>以查看数据集的创建方式。</w:t>
      </w:r>
    </w:p>
    <w:p>
      <w:pPr>
        <w:spacing w:after="40"/>
        <w:jc w:val="center"/>
      </w:pPr>
      <w:r>
        <w:rPr>
          <w:i/>
          <w:color w:val="646464"/>
          <w:sz w:val="18"/>
        </w:rPr>
        <w:t>图：数据集代码预览</w:t>
      </w:r>
    </w:p>
    <w:p>
      <w:pPr>
        <w:spacing w:before="120" w:after="240"/>
        <w:jc w:val="center"/>
      </w:pPr>
      <w:r>
        <w:drawing>
          <wp:inline xmlns:a="http://schemas.openxmlformats.org/drawingml/2006/main" xmlns:pic="http://schemas.openxmlformats.org/drawingml/2006/picture">
            <wp:extent cx="5029200" cy="3150038"/>
            <wp:docPr id="29" name="Picture 29"/>
            <wp:cNvGraphicFramePr>
              <a:graphicFrameLocks noChangeAspect="1"/>
            </wp:cNvGraphicFramePr>
            <a:graphic>
              <a:graphicData uri="http://schemas.openxmlformats.org/drawingml/2006/picture">
                <pic:pic>
                  <pic:nvPicPr>
                    <pic:cNvPr id="0" name="data-lineage-dataset-code.png"/>
                    <pic:cNvPicPr/>
                  </pic:nvPicPr>
                  <pic:blipFill>
                    <a:blip r:embed="rId37"/>
                    <a:stretch>
                      <a:fillRect/>
                    </a:stretch>
                  </pic:blipFill>
                  <pic:spPr>
                    <a:xfrm>
                      <a:off x="0" y="0"/>
                      <a:ext cx="5029200" cy="3150038"/>
                    </a:xfrm>
                    <a:prstGeom prst="rect"/>
                  </pic:spPr>
                </pic:pic>
              </a:graphicData>
            </a:graphic>
          </wp:inline>
        </w:drawing>
      </w:r>
    </w:p>
    <w:p>
      <w:pPr>
        <w:pStyle w:val="ListNumber"/>
        <w:spacing w:line="360" w:lineRule="auto" w:after="120"/>
      </w:pPr>
      <w:r>
        <w:rPr>
          <w:rFonts w:ascii="微软雅黑" w:hAnsi="微软雅黑"/>
          <w:sz w:val="21"/>
        </w:rPr>
        <w:t>点击</w:t>
      </w:r>
      <w:r>
        <w:rPr>
          <w:rFonts w:ascii="微软雅黑" w:hAnsi="微软雅黑"/>
          <w:b/>
          <w:sz w:val="21"/>
        </w:rPr>
        <w:t>在代码工作簿中查看</w:t>
      </w:r>
      <w:r>
        <w:rPr>
          <w:rFonts w:ascii="微软雅黑" w:hAnsi="微软雅黑"/>
          <w:sz w:val="21"/>
        </w:rPr>
        <w:t>或</w:t>
      </w:r>
      <w:r>
        <w:rPr>
          <w:rFonts w:ascii="微软雅黑" w:hAnsi="微软雅黑"/>
          <w:b/>
          <w:sz w:val="21"/>
        </w:rPr>
        <w:t>在存储库中查看</w:t>
      </w:r>
      <w:r>
        <w:rPr>
          <w:rFonts w:ascii="微软雅黑" w:hAnsi="微软雅黑"/>
          <w:sz w:val="21"/>
        </w:rPr>
        <w:t>以查看原始代码并根据需要进行更改（需符合权限）。</w:t>
      </w:r>
    </w:p>
    <w:p>
      <w:pPr>
        <w:spacing w:line="360" w:lineRule="auto" w:after="120"/>
      </w:pPr>
      <w:r>
        <w:rPr>
          <w:rFonts w:ascii="微软雅黑" w:hAnsi="微软雅黑"/>
          <w:sz w:val="21"/>
        </w:rPr>
        <w:t>:::callout</w:t>
      </w:r>
    </w:p>
    <w:p>
      <w:pPr>
        <w:spacing w:line="360" w:lineRule="auto" w:after="120"/>
      </w:pPr>
      <w:r>
        <w:rPr>
          <w:rFonts w:ascii="微软雅黑" w:hAnsi="微软雅黑"/>
          <w:sz w:val="21"/>
        </w:rPr>
        <w:t>根据资源类型，某些选项可能对某些数据集不可用。例如，</w:t>
      </w:r>
      <w:r>
        <w:rPr>
          <w:rFonts w:ascii="微软雅黑" w:hAnsi="微软雅黑"/>
          <w:b/>
          <w:sz w:val="21"/>
        </w:rPr>
        <w:t>代码</w:t>
      </w:r>
      <w:r>
        <w:rPr>
          <w:rFonts w:ascii="微软雅黑" w:hAnsi="微软雅黑"/>
          <w:sz w:val="21"/>
        </w:rPr>
        <w:t>仅适用于代码工作簿或代码存储库。对于没有代码显示的Fusion表同步，您可能有查看源表并在那里进行更改的选项（如果您拥有适当的权限）。</w:t>
      </w:r>
    </w:p>
    <w:p>
      <w:r>
        <w:br w:type="page"/>
      </w:r>
    </w:p>
    <w:p>
      <w:pPr>
        <w:pStyle w:val="Heading1"/>
      </w:pPr>
      <w:r>
        <w:rPr>
          <w:rFonts w:ascii="微软雅黑" w:hAnsi="微软雅黑"/>
        </w:rPr>
        <w:t>数据沿袭问题</w:t>
      </w:r>
    </w:p>
    <w:p>
      <w:pPr>
        <w:spacing w:line="360" w:lineRule="auto" w:after="120"/>
      </w:pPr>
      <w:r>
        <w:rPr>
          <w:rFonts w:ascii="微软雅黑" w:hAnsi="微软雅黑"/>
          <w:sz w:val="21"/>
        </w:rPr>
        <w:t># 数据沿袭问题</w:t>
      </w:r>
    </w:p>
    <w:p>
      <w:pPr>
        <w:spacing w:line="360" w:lineRule="auto" w:after="120"/>
      </w:pPr>
      <w:r>
        <w:rPr>
          <w:rFonts w:ascii="微软雅黑" w:hAnsi="微软雅黑"/>
          <w:sz w:val="21"/>
        </w:rPr>
        <w:t>以下是一些关于数据沿袭的常见问题。</w:t>
      </w:r>
    </w:p>
    <w:p>
      <w:pPr>
        <w:spacing w:line="360" w:lineRule="auto" w:after="120"/>
      </w:pPr>
      <w:r>
        <w:rPr>
          <w:rFonts w:ascii="微软雅黑" w:hAnsi="微软雅黑"/>
          <w:sz w:val="21"/>
        </w:rPr>
        <w:t>如需了解一般信息，请查看我们的</w:t>
      </w:r>
      <w:r>
        <w:rPr>
          <w:rFonts w:ascii="微软雅黑" w:hAnsi="微软雅黑"/>
          <w:color w:val="0066CC"/>
          <w:sz w:val="21"/>
          <w:u w:val="single"/>
        </w:rPr>
        <w:t>数据沿袭文档</w:t>
      </w:r>
      <w:r>
        <w:rPr>
          <w:rFonts w:ascii="微软雅黑" w:hAnsi="微软雅黑"/>
          <w:sz w:val="21"/>
        </w:rPr>
        <w:t>。</w:t>
      </w:r>
    </w:p>
    <w:p>
      <w:pPr>
        <w:pStyle w:val="ListBullet"/>
        <w:spacing w:line="360" w:lineRule="auto" w:after="120"/>
      </w:pPr>
      <w:r>
        <w:rPr>
          <w:rFonts w:ascii="微软雅黑" w:hAnsi="微软雅黑"/>
          <w:color w:val="0066CC"/>
          <w:sz w:val="21"/>
          <w:u w:val="single"/>
        </w:rPr>
        <w:t>如何查看我的Object类型在数据沿袭中的支持和数据输出数据集？</w:t>
      </w:r>
    </w:p>
    <w:p>
      <w:pPr>
        <w:pStyle w:val="ListBullet"/>
        <w:spacing w:line="360" w:lineRule="auto" w:after="120"/>
      </w:pPr>
      <w:r>
        <w:rPr>
          <w:rFonts w:ascii="微软雅黑" w:hAnsi="微软雅黑"/>
          <w:color w:val="0066CC"/>
          <w:sz w:val="21"/>
          <w:u w:val="single"/>
        </w:rPr>
        <w:t>我的管道中有哪些数据集也具有特定列？</w:t>
      </w:r>
    </w:p>
    <w:p>
      <w:pPr>
        <w:pStyle w:val="ListBullet"/>
        <w:spacing w:line="360" w:lineRule="auto" w:after="120"/>
      </w:pPr>
      <w:r>
        <w:rPr>
          <w:rFonts w:ascii="微软雅黑" w:hAnsi="微软雅黑"/>
          <w:color w:val="0066CC"/>
          <w:sz w:val="21"/>
          <w:u w:val="single"/>
        </w:rPr>
        <w:t>谁是最后一个修改此管道上资源的人？</w:t>
      </w:r>
    </w:p>
    <w:p>
      <w:pPr>
        <w:pStyle w:val="ListBullet"/>
        <w:spacing w:line="360" w:lineRule="auto" w:after="120"/>
      </w:pPr>
      <w:r>
        <w:rPr>
          <w:rFonts w:ascii="微软雅黑" w:hAnsi="微软雅黑"/>
          <w:color w:val="0066CC"/>
          <w:sz w:val="21"/>
          <w:u w:val="single"/>
        </w:rPr>
        <w:t>如何找到我的哪些数据集有未完成的事务？</w:t>
      </w:r>
    </w:p>
    <w:p>
      <w:pPr>
        <w:pStyle w:val="ListBullet"/>
        <w:spacing w:line="360" w:lineRule="auto" w:after="120"/>
      </w:pPr>
      <w:r>
        <w:rPr>
          <w:rFonts w:ascii="微软雅黑" w:hAnsi="微软雅黑"/>
          <w:color w:val="0066CC"/>
          <w:sz w:val="21"/>
          <w:u w:val="single"/>
        </w:rPr>
        <w:t>管道中大多数数据集存储在哪里？</w:t>
      </w:r>
    </w:p>
    <w:p>
      <w:pPr>
        <w:pStyle w:val="ListBullet"/>
        <w:spacing w:line="360" w:lineRule="auto" w:after="120"/>
      </w:pPr>
      <w:r>
        <w:rPr>
          <w:rFonts w:ascii="微软雅黑" w:hAnsi="微软雅黑"/>
          <w:color w:val="0066CC"/>
          <w:sz w:val="21"/>
          <w:u w:val="single"/>
        </w:rPr>
        <w:t>如何分享我未保存的数据沿袭图？</w:t>
      </w:r>
    </w:p>
    <w:p>
      <w:pPr>
        <w:pStyle w:val="ListBullet"/>
        <w:spacing w:line="360" w:lineRule="auto" w:after="120"/>
      </w:pPr>
      <w:r>
        <w:rPr>
          <w:rFonts w:ascii="微软雅黑" w:hAnsi="微软雅黑"/>
          <w:color w:val="0066CC"/>
          <w:sz w:val="21"/>
          <w:u w:val="single"/>
        </w:rPr>
        <w:t>为什么我的数据集不是最新的？</w:t>
      </w:r>
    </w:p>
    <w:p>
      <w:r>
        <w:t>──────────────────────────────────────────────────</w:t>
      </w:r>
    </w:p>
    <w:p>
      <w:pPr>
        <w:pStyle w:val="Heading2"/>
      </w:pPr>
      <w:r>
        <w:rPr>
          <w:rFonts w:ascii="微软雅黑" w:hAnsi="微软雅黑"/>
        </w:rPr>
        <w:t>如何查看我的Object类型在数据沿袭中的支持和数据输出数据集？</w:t>
      </w:r>
    </w:p>
    <w:p>
      <w:pPr>
        <w:pStyle w:val="ListBullet"/>
        <w:spacing w:line="360" w:lineRule="auto" w:after="120"/>
      </w:pPr>
      <w:r>
        <w:rPr>
          <w:rFonts w:ascii="微软雅黑" w:hAnsi="微软雅黑"/>
          <w:sz w:val="21"/>
        </w:rPr>
        <w:t>首先，通过在右侧面板（带有放大镜图标的标签）中搜索，将您的Object添加到数据沿袭图中。选择</w:t>
      </w:r>
      <w:r>
        <w:rPr>
          <w:rFonts w:ascii="微软雅黑" w:hAnsi="微软雅黑"/>
          <w:b/>
          <w:sz w:val="21"/>
        </w:rPr>
        <w:t>Object类型</w:t>
      </w:r>
      <w:r>
        <w:rPr>
          <w:rFonts w:ascii="微软雅黑" w:hAnsi="微软雅黑"/>
          <w:sz w:val="21"/>
        </w:rPr>
        <w:t>以筛选您的搜索，然后输入您想查看支持和数据输出数据集的Object名称。</w:t>
      </w:r>
    </w:p>
    <w:p>
      <w:pPr>
        <w:pStyle w:val="ListBullet"/>
        <w:spacing w:line="360" w:lineRule="auto" w:after="120"/>
      </w:pPr>
      <w:r>
        <w:rPr>
          <w:rFonts w:ascii="微软雅黑" w:hAnsi="微软雅黑"/>
          <w:sz w:val="21"/>
        </w:rPr>
        <w:t>接下来，选择您的Object类型左侧的箭头以显示其上级。如果您的Object类型是只读的，这将产生一个上级节点；如果您的Object类型启用了数据输出，则将产生两个上级节点。确保在</w:t>
      </w:r>
      <w:r>
        <w:rPr>
          <w:rFonts w:ascii="微软雅黑" w:hAnsi="微软雅黑"/>
          <w:b/>
          <w:sz w:val="21"/>
        </w:rPr>
        <w:t>节点颜色选项</w:t>
      </w:r>
      <w:r>
        <w:rPr>
          <w:rFonts w:ascii="微软雅黑" w:hAnsi="微软雅黑"/>
          <w:sz w:val="21"/>
        </w:rPr>
        <w:t>下拉菜单中选择了</w:t>
      </w:r>
      <w:r>
        <w:rPr>
          <w:rFonts w:ascii="微软雅黑" w:hAnsi="微软雅黑"/>
          <w:b/>
          <w:sz w:val="21"/>
        </w:rPr>
        <w:t>资源类型</w:t>
      </w:r>
      <w:r>
        <w:rPr>
          <w:rFonts w:ascii="微软雅黑" w:hAnsi="微软雅黑"/>
          <w:sz w:val="21"/>
        </w:rPr>
        <w:t>，以便根据右上角的图例查看您的数据输出数据集颜色。支持架构数据集的颜色取决于所使用的变换类型。</w:t>
      </w:r>
    </w:p>
    <w:p>
      <w:pPr>
        <w:pStyle w:val="ListBullet"/>
        <w:spacing w:line="360" w:lineRule="auto" w:after="120"/>
      </w:pPr>
      <w:r>
        <w:rPr>
          <w:rFonts w:ascii="微软雅黑" w:hAnsi="微软雅黑"/>
          <w:sz w:val="21"/>
        </w:rPr>
        <w:t>您的Object类型的支持和数据输出数据集在右上角也会有一个小地球图标。</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我的管道中有哪些数据集也具有特定列？</w:t>
      </w:r>
    </w:p>
    <w:p>
      <w:pPr>
        <w:pStyle w:val="ListNumber"/>
        <w:spacing w:line="360" w:lineRule="auto" w:after="120"/>
      </w:pPr>
      <w:r>
        <w:rPr>
          <w:rFonts w:ascii="微软雅黑" w:hAnsi="微软雅黑"/>
          <w:sz w:val="21"/>
        </w:rPr>
        <w:t>首先，确保您管道中所有所需的数据集已添加到数据沿袭图中。</w:t>
      </w:r>
    </w:p>
    <w:p>
      <w:pPr>
        <w:pStyle w:val="ListNumber"/>
        <w:spacing w:line="360" w:lineRule="auto" w:after="120"/>
      </w:pPr>
      <w:r>
        <w:rPr>
          <w:rFonts w:ascii="微软雅黑" w:hAnsi="微软雅黑"/>
          <w:sz w:val="21"/>
        </w:rPr>
        <w:t>接下来，使用画布左上角工具切换中的</w:t>
      </w:r>
      <w:r>
        <w:rPr>
          <w:rFonts w:ascii="微软雅黑" w:hAnsi="微软雅黑"/>
          <w:b/>
          <w:sz w:val="21"/>
        </w:rPr>
        <w:t>选择</w:t>
      </w:r>
      <w:r>
        <w:rPr>
          <w:rFonts w:ascii="微软雅黑" w:hAnsi="微软雅黑"/>
          <w:sz w:val="21"/>
        </w:rPr>
        <w:t>模式选择所需的数据集。</w:t>
      </w:r>
    </w:p>
    <w:p>
      <w:pPr>
        <w:pStyle w:val="ListNumber"/>
        <w:spacing w:line="360" w:lineRule="auto" w:after="120"/>
      </w:pPr>
      <w:r>
        <w:rPr>
          <w:rFonts w:ascii="微软雅黑" w:hAnsi="微软雅黑"/>
          <w:sz w:val="21"/>
        </w:rPr>
        <w:t>然后，从右侧面板打开</w:t>
      </w:r>
      <w:r>
        <w:rPr>
          <w:rFonts w:ascii="微软雅黑" w:hAnsi="微软雅黑"/>
          <w:b/>
          <w:sz w:val="21"/>
        </w:rPr>
        <w:t>选择属性直方图</w:t>
      </w:r>
      <w:r>
        <w:rPr>
          <w:rFonts w:ascii="微软雅黑" w:hAnsi="微软雅黑"/>
          <w:sz w:val="21"/>
        </w:rPr>
        <w:t>。在名为</w:t>
      </w:r>
      <w:r>
        <w:rPr>
          <w:rFonts w:ascii="微软雅黑" w:hAnsi="微软雅黑"/>
          <w:b/>
          <w:sz w:val="21"/>
        </w:rPr>
        <w:t>常见列</w:t>
      </w:r>
      <w:r>
        <w:rPr>
          <w:rFonts w:ascii="微软雅黑" w:hAnsi="微软雅黑"/>
          <w:sz w:val="21"/>
        </w:rPr>
        <w:t>的部分下，您将看到在您的选择中按列名称的最常见列。</w:t>
      </w:r>
    </w:p>
    <w:p>
      <w:pPr>
        <w:spacing w:line="360" w:lineRule="auto" w:after="120"/>
      </w:pPr>
      <w:r>
        <w:rPr>
          <w:rFonts w:ascii="微软雅黑" w:hAnsi="微软雅黑"/>
          <w:sz w:val="21"/>
        </w:rPr>
        <w:t>选择其中一列将突出显示在您的选择中包含此列的数据集。</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谁是最后一个修改此管道上资源的人？</w:t>
      </w:r>
    </w:p>
    <w:p>
      <w:pPr>
        <w:pStyle w:val="ListBullet"/>
        <w:spacing w:line="360" w:lineRule="auto" w:after="120"/>
      </w:pPr>
      <w:r>
        <w:rPr>
          <w:rFonts w:ascii="微软雅黑" w:hAnsi="微软雅黑"/>
          <w:sz w:val="21"/>
        </w:rPr>
        <w:t>首先，确保您管道中所有感兴趣的数据集已添加到数据沿袭图中。</w:t>
      </w:r>
    </w:p>
    <w:p>
      <w:pPr>
        <w:pStyle w:val="ListBullet"/>
        <w:spacing w:line="360" w:lineRule="auto" w:after="120"/>
      </w:pPr>
      <w:r>
        <w:rPr>
          <w:rFonts w:ascii="微软雅黑" w:hAnsi="微软雅黑"/>
          <w:sz w:val="21"/>
        </w:rPr>
        <w:t>接下来，使用屏幕左上角工具切换中的选择模式选择数据集。然后，从右侧面板打开</w:t>
      </w:r>
      <w:r>
        <w:rPr>
          <w:rFonts w:ascii="微软雅黑" w:hAnsi="微软雅黑"/>
          <w:b/>
          <w:sz w:val="21"/>
        </w:rPr>
        <w:t>选择属性直方图</w:t>
      </w:r>
      <w:r>
        <w:rPr>
          <w:rFonts w:ascii="微软雅黑" w:hAnsi="微软雅黑"/>
          <w:sz w:val="21"/>
        </w:rPr>
        <w:t>。</w:t>
      </w:r>
    </w:p>
    <w:p>
      <w:pPr>
        <w:pStyle w:val="ListBullet"/>
        <w:spacing w:line="360" w:lineRule="auto" w:after="120"/>
      </w:pPr>
      <w:r>
        <w:rPr>
          <w:rFonts w:ascii="微软雅黑" w:hAnsi="微软雅黑"/>
          <w:sz w:val="21"/>
        </w:rPr>
        <w:t>在</w:t>
      </w:r>
      <w:r>
        <w:rPr>
          <w:rFonts w:ascii="微软雅黑" w:hAnsi="微软雅黑"/>
          <w:b/>
          <w:sz w:val="21"/>
        </w:rPr>
        <w:t>最后修改</w:t>
      </w:r>
      <w:r>
        <w:rPr>
          <w:rFonts w:ascii="微软雅黑" w:hAnsi="微软雅黑"/>
          <w:sz w:val="21"/>
        </w:rPr>
        <w:t>部分下，您将看到最后修改您选择的数据集的用户。选择用户名将突出显示该用户在图中最后修改的数据集。</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如何找到我的哪些数据集有未完成的事务？</w:t>
      </w:r>
    </w:p>
    <w:p>
      <w:pPr>
        <w:spacing w:line="360" w:lineRule="auto" w:after="120"/>
      </w:pPr>
      <w:r>
        <w:rPr>
          <w:rFonts w:ascii="微软雅黑" w:hAnsi="微软雅黑"/>
          <w:sz w:val="21"/>
        </w:rPr>
        <w:t>在右上角的下拉菜单中，选择</w:t>
      </w:r>
      <w:r>
        <w:rPr>
          <w:rFonts w:ascii="微软雅黑" w:hAnsi="微软雅黑"/>
          <w:b/>
          <w:sz w:val="21"/>
        </w:rPr>
        <w:t>搭建状态</w:t>
      </w:r>
      <w:r>
        <w:rPr>
          <w:rFonts w:ascii="微软雅黑" w:hAnsi="微软雅黑"/>
          <w:sz w:val="21"/>
        </w:rPr>
        <w:t>。现在，您应该能够看到是否有任何数据集当前正在运行。任何这样的数据集都有一个未完成的事务。</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管道中大多数数据集存储在哪里？</w:t>
      </w:r>
    </w:p>
    <w:p>
      <w:pPr>
        <w:pStyle w:val="ListBullet"/>
        <w:spacing w:line="360" w:lineRule="auto" w:after="120"/>
      </w:pPr>
      <w:r>
        <w:rPr>
          <w:rFonts w:ascii="微软雅黑" w:hAnsi="微软雅黑"/>
          <w:sz w:val="21"/>
        </w:rPr>
        <w:t>首先，确保您管道中所有感兴趣的数据集已添加到数据沿袭图中。</w:t>
      </w:r>
    </w:p>
    <w:p>
      <w:pPr>
        <w:pStyle w:val="ListBullet"/>
        <w:spacing w:line="360" w:lineRule="auto" w:after="120"/>
      </w:pPr>
      <w:r>
        <w:rPr>
          <w:rFonts w:ascii="微软雅黑" w:hAnsi="微软雅黑"/>
          <w:sz w:val="21"/>
        </w:rPr>
        <w:t>接下来，使用屏幕左上角工具切换中的</w:t>
      </w:r>
      <w:r>
        <w:rPr>
          <w:rFonts w:ascii="微软雅黑" w:hAnsi="微软雅黑"/>
          <w:b/>
          <w:sz w:val="21"/>
        </w:rPr>
        <w:t>选择</w:t>
      </w:r>
      <w:r>
        <w:rPr>
          <w:rFonts w:ascii="微软雅黑" w:hAnsi="微软雅黑"/>
          <w:sz w:val="21"/>
        </w:rPr>
        <w:t>模式选择所有感兴趣的数据集。然后，从右侧面板打开</w:t>
      </w:r>
      <w:r>
        <w:rPr>
          <w:rFonts w:ascii="微软雅黑" w:hAnsi="微软雅黑"/>
          <w:b/>
          <w:sz w:val="21"/>
        </w:rPr>
        <w:t>选择属性直方图</w:t>
      </w:r>
      <w:r>
        <w:rPr>
          <w:rFonts w:ascii="微软雅黑" w:hAnsi="微软雅黑"/>
          <w:sz w:val="21"/>
        </w:rPr>
        <w:t>。</w:t>
      </w:r>
    </w:p>
    <w:p>
      <w:pPr>
        <w:pStyle w:val="ListBullet"/>
        <w:spacing w:line="360" w:lineRule="auto" w:after="120"/>
      </w:pPr>
      <w:r>
        <w:rPr>
          <w:rFonts w:ascii="微软雅黑" w:hAnsi="微软雅黑"/>
          <w:sz w:val="21"/>
        </w:rPr>
        <w:t>在名为</w:t>
      </w:r>
      <w:r>
        <w:rPr>
          <w:rFonts w:ascii="微软雅黑" w:hAnsi="微软雅黑"/>
          <w:b/>
          <w:sz w:val="21"/>
        </w:rPr>
        <w:t>常见文件夹路径</w:t>
      </w:r>
      <w:r>
        <w:rPr>
          <w:rFonts w:ascii="微软雅黑" w:hAnsi="微软雅黑"/>
          <w:sz w:val="21"/>
        </w:rPr>
        <w:t>的部分下，您将看到您选择中资源的最常见文件夹路径。</w:t>
      </w:r>
    </w:p>
    <w:p>
      <w:pPr>
        <w:spacing w:line="360" w:lineRule="auto" w:after="120"/>
      </w:pPr>
      <w:r>
        <w:rPr>
          <w:rFonts w:ascii="微软雅黑" w:hAnsi="微软雅黑"/>
          <w:sz w:val="21"/>
        </w:rPr>
        <w:t>选择一条黄金路径将突出显示图中此路径上的资源。悬停在文件夹路径上将显示完整路径。</w:t>
      </w:r>
    </w:p>
    <w:p>
      <w:pPr>
        <w:spacing w:line="360" w:lineRule="auto" w:after="120"/>
      </w:pPr>
      <w:r>
        <w:rPr>
          <w:rFonts w:ascii="微软雅黑" w:hAnsi="微软雅黑"/>
          <w:sz w:val="21"/>
        </w:rPr>
        <w:t>您可以在</w:t>
      </w:r>
      <w:r>
        <w:rPr>
          <w:rFonts w:ascii="微软雅黑" w:hAnsi="微软雅黑"/>
          <w:b/>
          <w:sz w:val="21"/>
        </w:rPr>
        <w:t>选择属性直方图</w:t>
      </w:r>
      <w:r>
        <w:rPr>
          <w:rFonts w:ascii="微软雅黑" w:hAnsi="微软雅黑"/>
          <w:sz w:val="21"/>
        </w:rPr>
        <w:t>面板中选择多个属性，这样图将突出显示满足您选择的所有资源。</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如何分享我未保存的数据沿袭图？</w:t>
      </w:r>
    </w:p>
    <w:p>
      <w:pPr>
        <w:spacing w:line="360" w:lineRule="auto" w:after="120"/>
      </w:pPr>
      <w:r>
        <w:rPr>
          <w:rFonts w:ascii="微软雅黑" w:hAnsi="微软雅黑"/>
          <w:sz w:val="21"/>
        </w:rPr>
        <w:t>要分享您未保存的数据沿袭图，请选择保存附近右上角的箭头。到那里后，您可以看到一个快速分享链接。</w:t>
      </w:r>
    </w:p>
    <w:p>
      <w:pPr>
        <w:spacing w:line="360" w:lineRule="auto" w:after="120"/>
      </w:pPr>
      <w:r>
        <w:rPr>
          <w:rFonts w:ascii="微软雅黑" w:hAnsi="微软雅黑"/>
          <w:color w:val="0066CC"/>
          <w:sz w:val="21"/>
          <w:u w:val="single"/>
        </w:rPr>
        <w:t>返回顶部</w:t>
      </w:r>
    </w:p>
    <w:p>
      <w:r>
        <w:t>──────────────────────────────────────────────────</w:t>
      </w:r>
    </w:p>
    <w:p>
      <w:pPr>
        <w:pStyle w:val="Heading2"/>
      </w:pPr>
      <w:r>
        <w:rPr>
          <w:rFonts w:ascii="微软雅黑" w:hAnsi="微软雅黑"/>
        </w:rPr>
        <w:t>为什么我的数据集不是最新的？</w:t>
      </w:r>
    </w:p>
    <w:p>
      <w:pPr>
        <w:spacing w:line="360" w:lineRule="auto" w:after="120"/>
      </w:pPr>
      <w:r>
        <w:rPr>
          <w:rFonts w:ascii="微软雅黑" w:hAnsi="微软雅黑"/>
          <w:sz w:val="21"/>
        </w:rPr>
        <w:t>您的数据集可能不是最新的有几个原因。</w:t>
      </w:r>
    </w:p>
    <w:p>
      <w:pPr>
        <w:spacing w:line="360" w:lineRule="auto" w:after="120"/>
      </w:pPr>
      <w:r>
        <w:rPr>
          <w:rFonts w:ascii="微软雅黑" w:hAnsi="微软雅黑"/>
          <w:sz w:val="21"/>
        </w:rPr>
        <w:t>请考虑以下原因可能导致您的数据集不是最新的：</w:t>
      </w:r>
    </w:p>
    <w:p>
      <w:pPr>
        <w:pStyle w:val="ListBullet"/>
        <w:spacing w:line="360" w:lineRule="auto" w:after="120"/>
      </w:pPr>
      <w:r>
        <w:rPr>
          <w:rFonts w:ascii="微软雅黑" w:hAnsi="微软雅黑"/>
          <w:sz w:val="21"/>
        </w:rPr>
        <w:t>您的数据集搭建是否失败？</w:t>
      </w:r>
    </w:p>
    <w:p>
      <w:pPr>
        <w:pStyle w:val="ListBullet"/>
        <w:spacing w:line="360" w:lineRule="auto" w:after="120"/>
      </w:pPr>
      <w:r>
        <w:rPr>
          <w:rFonts w:ascii="微软雅黑" w:hAnsi="微软雅黑"/>
          <w:sz w:val="21"/>
        </w:rPr>
        <w:t>是否有上游数据集尚未搭建且不是最新的？</w:t>
      </w:r>
    </w:p>
    <w:p>
      <w:pPr>
        <w:pStyle w:val="ListBullet"/>
        <w:spacing w:line="360" w:lineRule="auto" w:after="120"/>
      </w:pPr>
      <w:r>
        <w:rPr>
          <w:rFonts w:ascii="微软雅黑" w:hAnsi="微软雅黑"/>
          <w:sz w:val="21"/>
        </w:rPr>
        <w:t>您是否从源接收到最新的数据？</w:t>
      </w:r>
    </w:p>
    <w:p>
      <w:pPr>
        <w:spacing w:line="360" w:lineRule="auto" w:after="120"/>
      </w:pPr>
      <w:r>
        <w:rPr>
          <w:rFonts w:ascii="微软雅黑" w:hAnsi="微软雅黑"/>
          <w:sz w:val="21"/>
        </w:rPr>
        <w:t>您可以在数据沿袭中轻松回答这些问题：</w:t>
      </w:r>
    </w:p>
    <w:p>
      <w:pPr>
        <w:pStyle w:val="ListNumber"/>
        <w:spacing w:line="360" w:lineRule="auto" w:after="120"/>
      </w:pPr>
      <w:r>
        <w:rPr>
          <w:rFonts w:ascii="微软雅黑" w:hAnsi="微软雅黑"/>
          <w:sz w:val="21"/>
        </w:rPr>
        <w:t>首先，通过在数据沿袭中打开感兴趣的数据集并右键单击节点来验证管道中每个资源的状态。</w:t>
      </w:r>
    </w:p>
    <w:p>
      <w:pPr>
        <w:pStyle w:val="ListNumber"/>
        <w:spacing w:line="360" w:lineRule="auto" w:after="120"/>
      </w:pPr>
      <w:r>
        <w:rPr>
          <w:rFonts w:ascii="微软雅黑" w:hAnsi="微软雅黑"/>
          <w:sz w:val="21"/>
        </w:rPr>
        <w:t>然后，选择</w:t>
      </w:r>
      <w:r>
        <w:rPr>
          <w:rFonts w:ascii="微软雅黑" w:hAnsi="微软雅黑"/>
          <w:b/>
          <w:sz w:val="21"/>
        </w:rPr>
        <w:t>展开节点...</w:t>
      </w:r>
      <w:r>
        <w:rPr>
          <w:rFonts w:ascii="微软雅黑" w:hAnsi="微软雅黑"/>
          <w:sz w:val="21"/>
        </w:rPr>
        <w:t>。您可以通过选择\*\*展开父节点...\*\*上方的双左箭头查看该数据集的所有上级节点。</w:t>
      </w:r>
    </w:p>
    <w:p>
      <w:pPr>
        <w:pStyle w:val="ListNumber"/>
        <w:spacing w:line="360" w:lineRule="auto" w:after="120"/>
      </w:pPr>
      <w:r>
        <w:rPr>
          <w:rFonts w:ascii="微软雅黑" w:hAnsi="微软雅黑"/>
          <w:sz w:val="21"/>
        </w:rPr>
        <w:t>接下来，在右上角的</w:t>
      </w:r>
      <w:r>
        <w:rPr>
          <w:rFonts w:ascii="微软雅黑" w:hAnsi="微软雅黑"/>
          <w:b/>
          <w:sz w:val="21"/>
        </w:rPr>
        <w:t>节点颜色选项</w:t>
      </w:r>
      <w:r>
        <w:rPr>
          <w:rFonts w:ascii="微软雅黑" w:hAnsi="微软雅黑"/>
          <w:sz w:val="21"/>
        </w:rPr>
        <w:t>下拉菜单中选择</w:t>
      </w:r>
      <w:r>
        <w:rPr>
          <w:rFonts w:ascii="微软雅黑" w:hAnsi="微软雅黑"/>
          <w:b/>
          <w:sz w:val="21"/>
        </w:rPr>
        <w:t>搭建状态</w:t>
      </w:r>
      <w:r>
        <w:rPr>
          <w:rFonts w:ascii="微软雅黑" w:hAnsi="微软雅黑"/>
          <w:sz w:val="21"/>
        </w:rPr>
        <w:t>选项，以查看管道中每个资源的搭建状态。此视图将使您更容易诊断过时的数据集。</w:t>
      </w:r>
    </w:p>
    <w:p>
      <w:pPr>
        <w:spacing w:line="360" w:lineRule="auto" w:after="120"/>
      </w:pPr>
      <w:r>
        <w:rPr>
          <w:rFonts w:ascii="微软雅黑" w:hAnsi="微软雅黑"/>
          <w:color w:val="0066CC"/>
          <w:sz w:val="21"/>
          <w:u w:val="single"/>
        </w:rPr>
        <w:t>返回顶部</w:t>
      </w:r>
    </w:p>
    <w:p>
      <w:r>
        <w:br w:type="page"/>
      </w:r>
    </w:p>
    <w:p>
      <w:pPr>
        <w:pStyle w:val="Heading1"/>
      </w:pPr>
      <w:r>
        <w:rPr>
          <w:rFonts w:ascii="微软雅黑" w:hAnsi="微软雅黑"/>
        </w:rPr>
        <w:t>查找具有指定列的数据集</w:t>
      </w:r>
    </w:p>
    <w:p>
      <w:pPr>
        <w:spacing w:line="360" w:lineRule="auto" w:after="120"/>
      </w:pPr>
      <w:r>
        <w:rPr>
          <w:rFonts w:ascii="微软雅黑" w:hAnsi="微软雅黑"/>
          <w:sz w:val="21"/>
        </w:rPr>
        <w:t># 查找具有指定列的数据集</w:t>
      </w:r>
    </w:p>
    <w:p>
      <w:pPr>
        <w:spacing w:line="360" w:lineRule="auto" w:after="120"/>
      </w:pPr>
      <w:r>
        <w:rPr>
          <w:rFonts w:ascii="微软雅黑" w:hAnsi="微软雅黑"/>
          <w:sz w:val="21"/>
        </w:rPr>
        <w:t>您可以在您的数据沿袭图中轻松搜索特定数据集列：</w:t>
      </w:r>
    </w:p>
    <w:p>
      <w:pPr>
        <w:pStyle w:val="ListBullet"/>
        <w:spacing w:line="360" w:lineRule="auto" w:after="120"/>
      </w:pPr>
      <w:r>
        <w:rPr>
          <w:rFonts w:ascii="微软雅黑" w:hAnsi="微软雅黑"/>
          <w:sz w:val="21"/>
        </w:rPr>
        <w:t>首先，确保您已将管道中所有感兴趣的数据集添加到您的沿袭图中。</w:t>
      </w:r>
    </w:p>
    <w:p>
      <w:pPr>
        <w:pStyle w:val="ListBullet"/>
        <w:spacing w:line="360" w:lineRule="auto" w:after="120"/>
      </w:pPr>
      <w:r>
        <w:rPr>
          <w:rFonts w:ascii="微软雅黑" w:hAnsi="微软雅黑"/>
          <w:sz w:val="21"/>
        </w:rPr>
        <w:t>接下来，使用应用程序左上角工具切换中的</w:t>
      </w:r>
      <w:r>
        <w:rPr>
          <w:rFonts w:ascii="微软雅黑" w:hAnsi="微软雅黑"/>
          <w:b/>
          <w:sz w:val="21"/>
        </w:rPr>
        <w:t>拖拽选择模式</w:t>
      </w:r>
      <w:r>
        <w:rPr>
          <w:rFonts w:ascii="微软雅黑" w:hAnsi="微软雅黑"/>
          <w:sz w:val="21"/>
        </w:rPr>
        <w:t xml:space="preserve">选择所有感兴趣的数据集。您也可以按住 </w:t>
      </w:r>
      <w:r>
        <w:rPr>
          <w:rFonts w:ascii="Consolas" w:hAnsi="Consolas"/>
          <w:color w:val="B43C3C"/>
          <w:sz w:val="18"/>
        </w:rPr>
        <w:t>Ctrl / Command</w:t>
      </w:r>
      <w:r>
        <w:rPr>
          <w:rFonts w:ascii="微软雅黑" w:hAnsi="微软雅黑"/>
          <w:sz w:val="21"/>
        </w:rPr>
        <w:t xml:space="preserve"> 一次选择多个节点，或使用 </w:t>
      </w:r>
      <w:r>
        <w:rPr>
          <w:rFonts w:ascii="Consolas" w:hAnsi="Consolas"/>
          <w:color w:val="B43C3C"/>
          <w:sz w:val="18"/>
        </w:rPr>
        <w:t>Ctrl / Command + A</w:t>
      </w:r>
      <w:r>
        <w:rPr>
          <w:rFonts w:ascii="微软雅黑" w:hAnsi="微软雅黑"/>
          <w:sz w:val="21"/>
        </w:rPr>
        <w:t xml:space="preserve"> 选择所有节点。</w:t>
      </w:r>
    </w:p>
    <w:p>
      <w:pPr>
        <w:spacing w:after="40"/>
        <w:jc w:val="center"/>
      </w:pPr>
      <w:r>
        <w:rPr>
          <w:i/>
          <w:color w:val="646464"/>
          <w:sz w:val="18"/>
        </w:rPr>
        <w:t>图：使用选择模式选择数据集</w:t>
      </w:r>
    </w:p>
    <w:p>
      <w:pPr>
        <w:spacing w:before="120" w:after="240"/>
        <w:jc w:val="center"/>
      </w:pPr>
      <w:r>
        <w:drawing>
          <wp:inline xmlns:a="http://schemas.openxmlformats.org/drawingml/2006/main" xmlns:pic="http://schemas.openxmlformats.org/drawingml/2006/picture">
            <wp:extent cx="5029200" cy="1586992"/>
            <wp:docPr id="30" name="Picture 30"/>
            <wp:cNvGraphicFramePr>
              <a:graphicFrameLocks noChangeAspect="1"/>
            </wp:cNvGraphicFramePr>
            <a:graphic>
              <a:graphicData uri="http://schemas.openxmlformats.org/drawingml/2006/picture">
                <pic:pic>
                  <pic:nvPicPr>
                    <pic:cNvPr id="0" name="select-mode.png"/>
                    <pic:cNvPicPr/>
                  </pic:nvPicPr>
                  <pic:blipFill>
                    <a:blip r:embed="rId38"/>
                    <a:stretch>
                      <a:fillRect/>
                    </a:stretch>
                  </pic:blipFill>
                  <pic:spPr>
                    <a:xfrm>
                      <a:off x="0" y="0"/>
                      <a:ext cx="5029200" cy="1586992"/>
                    </a:xfrm>
                    <a:prstGeom prst="rect"/>
                  </pic:spPr>
                </pic:pic>
              </a:graphicData>
            </a:graphic>
          </wp:inline>
        </w:drawing>
      </w:r>
    </w:p>
    <w:p>
      <w:pPr>
        <w:pStyle w:val="ListBullet"/>
        <w:spacing w:line="360" w:lineRule="auto" w:after="120"/>
      </w:pPr>
      <w:r>
        <w:rPr>
          <w:rFonts w:ascii="微软雅黑" w:hAnsi="微软雅黑"/>
          <w:sz w:val="21"/>
        </w:rPr>
        <w:t>然后，从数据沿袭侧边栏中选择</w:t>
      </w:r>
      <w:r>
        <w:rPr>
          <w:rFonts w:ascii="微软雅黑" w:hAnsi="微软雅黑"/>
          <w:b/>
          <w:sz w:val="21"/>
        </w:rPr>
        <w:t>查看选择属性的直方图</w:t>
      </w:r>
      <w:r>
        <w:rPr>
          <w:rFonts w:ascii="微软雅黑" w:hAnsi="微软雅黑"/>
          <w:sz w:val="21"/>
        </w:rPr>
        <w:t>。</w:t>
      </w:r>
    </w:p>
    <w:p>
      <w:pPr>
        <w:spacing w:after="40"/>
        <w:jc w:val="center"/>
      </w:pPr>
      <w:r>
        <w:rPr>
          <w:i/>
          <w:color w:val="646464"/>
          <w:sz w:val="18"/>
        </w:rPr>
        <w:t>图：查看选择属性的直方图</w:t>
      </w:r>
    </w:p>
    <w:p>
      <w:pPr>
        <w:spacing w:before="120" w:after="240"/>
        <w:jc w:val="center"/>
      </w:pPr>
      <w:r>
        <w:drawing>
          <wp:inline xmlns:a="http://schemas.openxmlformats.org/drawingml/2006/main" xmlns:pic="http://schemas.openxmlformats.org/drawingml/2006/picture">
            <wp:extent cx="5029200" cy="3083378"/>
            <wp:docPr id="31" name="Picture 31"/>
            <wp:cNvGraphicFramePr>
              <a:graphicFrameLocks noChangeAspect="1"/>
            </wp:cNvGraphicFramePr>
            <a:graphic>
              <a:graphicData uri="http://schemas.openxmlformats.org/drawingml/2006/picture">
                <pic:pic>
                  <pic:nvPicPr>
                    <pic:cNvPr id="0" name="view-histogram.png"/>
                    <pic:cNvPicPr/>
                  </pic:nvPicPr>
                  <pic:blipFill>
                    <a:blip r:embed="rId39"/>
                    <a:stretch>
                      <a:fillRect/>
                    </a:stretch>
                  </pic:blipFill>
                  <pic:spPr>
                    <a:xfrm>
                      <a:off x="0" y="0"/>
                      <a:ext cx="5029200" cy="3083378"/>
                    </a:xfrm>
                    <a:prstGeom prst="rect"/>
                  </pic:spPr>
                </pic:pic>
              </a:graphicData>
            </a:graphic>
          </wp:inline>
        </w:drawing>
      </w:r>
    </w:p>
    <w:p>
      <w:pPr>
        <w:pStyle w:val="ListBullet"/>
        <w:spacing w:line="360" w:lineRule="auto" w:after="120"/>
      </w:pPr>
      <w:r>
        <w:rPr>
          <w:rFonts w:ascii="微软雅黑" w:hAnsi="微软雅黑"/>
          <w:sz w:val="21"/>
        </w:rPr>
        <w:t>在</w:t>
      </w:r>
      <w:r>
        <w:rPr>
          <w:rFonts w:ascii="微软雅黑" w:hAnsi="微软雅黑"/>
          <w:b/>
          <w:sz w:val="21"/>
        </w:rPr>
        <w:t>常见列</w:t>
      </w:r>
      <w:r>
        <w:rPr>
          <w:rFonts w:ascii="微软雅黑" w:hAnsi="微软雅黑"/>
          <w:sz w:val="21"/>
        </w:rPr>
        <w:t>部分，您可以看到选择中按名称排列的最常见列。</w:t>
      </w:r>
    </w:p>
    <w:p>
      <w:pPr>
        <w:pStyle w:val="ListBullet"/>
        <w:spacing w:line="360" w:lineRule="auto" w:after="120"/>
      </w:pPr>
      <w:r>
        <w:rPr>
          <w:rFonts w:ascii="微软雅黑" w:hAnsi="微软雅黑"/>
          <w:sz w:val="21"/>
        </w:rPr>
        <w:t>点击其中一个列以突出显示选择中包含该列的数据集。</w:t>
      </w:r>
    </w:p>
    <w:p>
      <w:pPr>
        <w:spacing w:after="40"/>
        <w:jc w:val="center"/>
      </w:pPr>
      <w:r>
        <w:rPr>
          <w:i/>
          <w:color w:val="646464"/>
          <w:sz w:val="18"/>
        </w:rPr>
        <w:t>图：在直方图中查看常见列</w:t>
      </w:r>
    </w:p>
    <w:p>
      <w:pPr>
        <w:spacing w:before="120" w:after="240"/>
        <w:jc w:val="center"/>
      </w:pPr>
      <w:r>
        <w:drawing>
          <wp:inline xmlns:a="http://schemas.openxmlformats.org/drawingml/2006/main" xmlns:pic="http://schemas.openxmlformats.org/drawingml/2006/picture">
            <wp:extent cx="5029200" cy="1371193"/>
            <wp:docPr id="32" name="Picture 32"/>
            <wp:cNvGraphicFramePr>
              <a:graphicFrameLocks noChangeAspect="1"/>
            </wp:cNvGraphicFramePr>
            <a:graphic>
              <a:graphicData uri="http://schemas.openxmlformats.org/drawingml/2006/picture">
                <pic:pic>
                  <pic:nvPicPr>
                    <pic:cNvPr id="0" name="column-search-dataset.png"/>
                    <pic:cNvPicPr/>
                  </pic:nvPicPr>
                  <pic:blipFill>
                    <a:blip r:embed="rId40"/>
                    <a:stretch>
                      <a:fillRect/>
                    </a:stretch>
                  </pic:blipFill>
                  <pic:spPr>
                    <a:xfrm>
                      <a:off x="0" y="0"/>
                      <a:ext cx="5029200" cy="1371193"/>
                    </a:xfrm>
                    <a:prstGeom prst="rect"/>
                  </pic:spPr>
                </pic:pic>
              </a:graphicData>
            </a:graphic>
          </wp:inline>
        </w:drawing>
      </w:r>
    </w:p>
    <w:p>
      <w:r>
        <w:br w:type="page"/>
      </w:r>
    </w:p>
    <w:p>
      <w:pPr>
        <w:pStyle w:val="Heading1"/>
      </w:pPr>
      <w:r>
        <w:rPr>
          <w:rFonts w:ascii="微软雅黑" w:hAnsi="微软雅黑"/>
        </w:rPr>
        <w:t>管理计划</w:t>
      </w:r>
    </w:p>
    <w:p>
      <w:pPr>
        <w:spacing w:line="360" w:lineRule="auto" w:after="120"/>
      </w:pPr>
      <w:r>
        <w:rPr>
          <w:rFonts w:ascii="微软雅黑" w:hAnsi="微软雅黑"/>
          <w:sz w:val="21"/>
        </w:rPr>
        <w:t># 管理计划</w:t>
      </w:r>
    </w:p>
    <w:p>
      <w:pPr>
        <w:spacing w:line="360" w:lineRule="auto" w:after="120"/>
      </w:pPr>
      <w:r>
        <w:rPr>
          <w:rFonts w:ascii="微软雅黑" w:hAnsi="微软雅黑"/>
          <w:sz w:val="21"/>
        </w:rPr>
        <w:t>数据沿袭允许您轻松管理沿袭图中的搭建计划。在右侧边栏中，选择</w:t>
      </w:r>
      <w:r>
        <w:rPr>
          <w:rFonts w:ascii="微软雅黑" w:hAnsi="微软雅黑"/>
          <w:b/>
          <w:sz w:val="21"/>
        </w:rPr>
        <w:t>管理计划</w:t>
      </w:r>
      <w:r>
        <w:rPr>
          <w:rFonts w:ascii="微软雅黑" w:hAnsi="微软雅黑"/>
          <w:sz w:val="21"/>
        </w:rPr>
        <w:t>以打开计划详情窗格。</w:t>
      </w:r>
    </w:p>
    <w:p>
      <w:pPr>
        <w:spacing w:after="40"/>
        <w:jc w:val="center"/>
      </w:pPr>
      <w:r>
        <w:rPr>
          <w:i/>
          <w:color w:val="646464"/>
          <w:sz w:val="18"/>
        </w:rPr>
        <w:t>图：在数据沿袭中管理计划</w:t>
      </w:r>
    </w:p>
    <w:p>
      <w:pPr>
        <w:spacing w:before="120" w:after="240"/>
        <w:jc w:val="center"/>
      </w:pPr>
      <w:r>
        <w:drawing>
          <wp:inline xmlns:a="http://schemas.openxmlformats.org/drawingml/2006/main" xmlns:pic="http://schemas.openxmlformats.org/drawingml/2006/picture">
            <wp:extent cx="5029200" cy="2606119"/>
            <wp:docPr id="33" name="Picture 33"/>
            <wp:cNvGraphicFramePr>
              <a:graphicFrameLocks noChangeAspect="1"/>
            </wp:cNvGraphicFramePr>
            <a:graphic>
              <a:graphicData uri="http://schemas.openxmlformats.org/drawingml/2006/picture">
                <pic:pic>
                  <pic:nvPicPr>
                    <pic:cNvPr id="0" name="manage-schedules.png"/>
                    <pic:cNvPicPr/>
                  </pic:nvPicPr>
                  <pic:blipFill>
                    <a:blip r:embed="rId41"/>
                    <a:stretch>
                      <a:fillRect/>
                    </a:stretch>
                  </pic:blipFill>
                  <pic:spPr>
                    <a:xfrm>
                      <a:off x="0" y="0"/>
                      <a:ext cx="5029200" cy="2606119"/>
                    </a:xfrm>
                    <a:prstGeom prst="rect"/>
                  </pic:spPr>
                </pic:pic>
              </a:graphicData>
            </a:graphic>
          </wp:inline>
        </w:drawing>
      </w:r>
    </w:p>
    <w:p>
      <w:pPr>
        <w:spacing w:line="360" w:lineRule="auto" w:after="120"/>
      </w:pPr>
      <w:r>
        <w:rPr>
          <w:rFonts w:ascii="微软雅黑" w:hAnsi="微软雅黑"/>
          <w:sz w:val="21"/>
        </w:rPr>
        <w:t>您将看到与图中选定数据集相关的计划。点击某个计划以查看更多详情：</w:t>
      </w:r>
    </w:p>
    <w:p>
      <w:pPr>
        <w:spacing w:after="40"/>
        <w:jc w:val="center"/>
      </w:pPr>
      <w:r>
        <w:rPr>
          <w:i/>
          <w:color w:val="646464"/>
          <w:sz w:val="18"/>
        </w:rPr>
        <w:t>图：在数据沿袭侧边栏中管理计划详情</w:t>
      </w:r>
    </w:p>
    <w:p>
      <w:pPr>
        <w:spacing w:before="120" w:after="240"/>
        <w:jc w:val="center"/>
      </w:pPr>
      <w:r>
        <w:drawing>
          <wp:inline xmlns:a="http://schemas.openxmlformats.org/drawingml/2006/main" xmlns:pic="http://schemas.openxmlformats.org/drawingml/2006/picture">
            <wp:extent cx="1724585" cy="4114800"/>
            <wp:docPr id="34" name="Picture 34"/>
            <wp:cNvGraphicFramePr>
              <a:graphicFrameLocks noChangeAspect="1"/>
            </wp:cNvGraphicFramePr>
            <a:graphic>
              <a:graphicData uri="http://schemas.openxmlformats.org/drawingml/2006/picture">
                <pic:pic>
                  <pic:nvPicPr>
                    <pic:cNvPr id="0" name="manage-schedule-details.png"/>
                    <pic:cNvPicPr/>
                  </pic:nvPicPr>
                  <pic:blipFill>
                    <a:blip r:embed="rId42"/>
                    <a:stretch>
                      <a:fillRect/>
                    </a:stretch>
                  </pic:blipFill>
                  <pic:spPr>
                    <a:xfrm>
                      <a:off x="0" y="0"/>
                      <a:ext cx="1724585" cy="4114800"/>
                    </a:xfrm>
                    <a:prstGeom prst="rect"/>
                  </pic:spPr>
                </pic:pic>
              </a:graphicData>
            </a:graphic>
          </wp:inline>
        </w:drawing>
      </w:r>
    </w:p>
    <w:p>
      <w:pPr>
        <w:pStyle w:val="ListBullet"/>
        <w:spacing w:line="360" w:lineRule="auto" w:after="120"/>
      </w:pPr>
      <w:r>
        <w:rPr>
          <w:rFonts w:ascii="微软雅黑" w:hAnsi="微软雅黑"/>
          <w:b/>
          <w:sz w:val="21"/>
        </w:rPr>
        <w:t>最新运行：</w:t>
      </w:r>
      <w:r>
        <w:rPr>
          <w:rFonts w:ascii="微软雅黑" w:hAnsi="微软雅黑"/>
          <w:sz w:val="21"/>
        </w:rPr>
        <w:t xml:space="preserve"> 计划最新一次运行的状态。</w:t>
      </w:r>
    </w:p>
    <w:p>
      <w:pPr>
        <w:pStyle w:val="ListBullet"/>
        <w:spacing w:line="360" w:lineRule="auto" w:after="120"/>
      </w:pPr>
      <w:r>
        <w:rPr>
          <w:rFonts w:ascii="微软雅黑" w:hAnsi="微软雅黑"/>
          <w:b/>
          <w:sz w:val="21"/>
        </w:rPr>
        <w:t>最后更新：</w:t>
      </w:r>
      <w:r>
        <w:rPr>
          <w:rFonts w:ascii="微软雅黑" w:hAnsi="微软雅黑"/>
          <w:sz w:val="21"/>
        </w:rPr>
        <w:t xml:space="preserve"> 最后一次更新的时间戳以及进行更改的用户</w:t>
      </w:r>
    </w:p>
    <w:p>
      <w:pPr>
        <w:pStyle w:val="ListBullet"/>
        <w:spacing w:line="360" w:lineRule="auto" w:after="120"/>
      </w:pPr>
      <w:r>
        <w:rPr>
          <w:rFonts w:ascii="微软雅黑" w:hAnsi="微软雅黑"/>
          <w:b/>
          <w:sz w:val="21"/>
        </w:rPr>
        <w:t>目标数据集：</w:t>
      </w:r>
      <w:r>
        <w:rPr>
          <w:rFonts w:ascii="微软雅黑" w:hAnsi="微软雅黑"/>
          <w:sz w:val="21"/>
        </w:rPr>
        <w:t xml:space="preserve"> 搭建计划中包含的下游数据集列表。</w:t>
      </w:r>
    </w:p>
    <w:p>
      <w:pPr>
        <w:pStyle w:val="ListBullet"/>
        <w:spacing w:line="360" w:lineRule="auto" w:after="120"/>
      </w:pPr>
      <w:r>
        <w:rPr>
          <w:rFonts w:ascii="微软雅黑" w:hAnsi="微软雅黑"/>
          <w:b/>
          <w:sz w:val="21"/>
        </w:rPr>
        <w:t>搭建时机：</w:t>
      </w:r>
      <w:r>
        <w:rPr>
          <w:rFonts w:ascii="微软雅黑" w:hAnsi="微软雅黑"/>
          <w:sz w:val="21"/>
        </w:rPr>
        <w:t xml:space="preserve"> 显示创建搭建计划时确定的搭建计划触发器。例如，可以将搭建计划设置为在</w:t>
      </w:r>
      <w:r>
        <w:rPr>
          <w:rFonts w:ascii="微软雅黑" w:hAnsi="微软雅黑"/>
          <w:b/>
          <w:sz w:val="21"/>
        </w:rPr>
        <w:t>特定数据集更新时</w:t>
      </w:r>
      <w:r>
        <w:rPr>
          <w:rFonts w:ascii="微软雅黑" w:hAnsi="微软雅黑"/>
          <w:sz w:val="21"/>
        </w:rPr>
        <w:t>运行。</w:t>
      </w:r>
    </w:p>
    <w:p>
      <w:pPr>
        <w:pStyle w:val="ListBullet"/>
        <w:spacing w:line="360" w:lineRule="auto" w:after="120"/>
      </w:pPr>
      <w:r>
        <w:rPr>
          <w:rFonts w:ascii="微软雅黑" w:hAnsi="微软雅黑"/>
          <w:b/>
          <w:sz w:val="21"/>
        </w:rPr>
        <w:t>搭建范围：</w:t>
      </w:r>
      <w:r>
        <w:rPr>
          <w:rFonts w:ascii="微软雅黑" w:hAnsi="微软雅黑"/>
          <w:sz w:val="21"/>
        </w:rPr>
        <w:t xml:space="preserve"> 定义搭建中包含的项目或用户数据集及运行搭建所使用的权限。</w:t>
      </w:r>
    </w:p>
    <w:p>
      <w:pPr>
        <w:spacing w:line="360" w:lineRule="auto" w:after="120"/>
      </w:pPr>
      <w:r>
        <w:rPr>
          <w:rFonts w:ascii="微软雅黑" w:hAnsi="微软雅黑"/>
          <w:sz w:val="21"/>
        </w:rPr>
        <w:t>在</w:t>
      </w:r>
      <w:r>
        <w:rPr>
          <w:rFonts w:ascii="微软雅黑" w:hAnsi="微软雅黑"/>
          <w:color w:val="0066CC"/>
          <w:sz w:val="21"/>
          <w:u w:val="single"/>
        </w:rPr>
        <w:t>**搭建管道**</w:t>
      </w:r>
      <w:r>
        <w:rPr>
          <w:rFonts w:ascii="微软雅黑" w:hAnsi="微软雅黑"/>
          <w:sz w:val="21"/>
        </w:rPr>
        <w:t>文档中了解更多关于计划搭建的信息。</w:t>
      </w:r>
    </w:p>
    <w:p>
      <w:r>
        <w:br w:type="page"/>
      </w:r>
    </w:p>
    <w:p>
      <w:pPr>
        <w:pStyle w:val="Heading1"/>
      </w:pPr>
      <w:r>
        <w:rPr>
          <w:rFonts w:ascii="微软雅黑" w:hAnsi="微软雅黑"/>
        </w:rPr>
        <w:t>导航</w:t>
      </w:r>
    </w:p>
    <w:p>
      <w:pPr>
        <w:spacing w:line="360" w:lineRule="auto" w:after="120"/>
      </w:pPr>
      <w:r>
        <w:rPr>
          <w:rFonts w:ascii="微软雅黑" w:hAnsi="微软雅黑"/>
          <w:sz w:val="21"/>
        </w:rPr>
        <w:t># 导航</w:t>
      </w:r>
    </w:p>
    <w:p>
      <w:pPr>
        <w:spacing w:line="360" w:lineRule="auto" w:after="120"/>
      </w:pPr>
      <w:r>
        <w:rPr>
          <w:rFonts w:ascii="微软雅黑" w:hAnsi="微软雅黑"/>
          <w:sz w:val="21"/>
        </w:rPr>
        <w:t>为了充分利用数据沿袭应用程序，您需要了解如何导航图表、使用工具以及配置分支和图表属性。以下编号部分对应于下方截图上的编号：</w:t>
      </w:r>
    </w:p>
    <w:p>
      <w:pPr>
        <w:pStyle w:val="ListNumber"/>
        <w:spacing w:line="360" w:lineRule="auto" w:after="120"/>
      </w:pPr>
      <w:r>
        <w:rPr>
          <w:rFonts w:ascii="微软雅黑" w:hAnsi="微软雅黑"/>
          <w:color w:val="0066CC"/>
          <w:sz w:val="21"/>
          <w:u w:val="single"/>
        </w:rPr>
        <w:t>沿袭图表</w:t>
      </w:r>
    </w:p>
    <w:p>
      <w:pPr>
        <w:pStyle w:val="ListNumber"/>
        <w:spacing w:line="360" w:lineRule="auto" w:after="120"/>
      </w:pPr>
      <w:r>
        <w:rPr>
          <w:rFonts w:ascii="微软雅黑" w:hAnsi="微软雅黑"/>
          <w:color w:val="0066CC"/>
          <w:sz w:val="21"/>
          <w:u w:val="single"/>
        </w:rPr>
        <w:t>分支设置</w:t>
      </w:r>
    </w:p>
    <w:p>
      <w:pPr>
        <w:pStyle w:val="ListNumber"/>
        <w:spacing w:line="360" w:lineRule="auto" w:after="120"/>
      </w:pPr>
      <w:r>
        <w:rPr>
          <w:rFonts w:ascii="微软雅黑" w:hAnsi="微软雅黑"/>
          <w:color w:val="0066CC"/>
          <w:sz w:val="21"/>
          <w:u w:val="single"/>
        </w:rPr>
        <w:t>侧边面板</w:t>
      </w:r>
    </w:p>
    <w:p>
      <w:pPr>
        <w:pStyle w:val="ListBullet"/>
        <w:spacing w:line="360" w:lineRule="auto" w:after="120"/>
      </w:pPr>
      <w:r>
        <w:rPr>
          <w:rFonts w:ascii="微软雅黑" w:hAnsi="微软雅黑"/>
          <w:color w:val="0066CC"/>
          <w:sz w:val="21"/>
          <w:u w:val="single"/>
        </w:rPr>
        <w:t>搜索和浏览</w:t>
      </w:r>
    </w:p>
    <w:p>
      <w:pPr>
        <w:pStyle w:val="ListBullet"/>
        <w:spacing w:line="360" w:lineRule="auto" w:after="120"/>
      </w:pPr>
      <w:r>
        <w:rPr>
          <w:rFonts w:ascii="微软雅黑" w:hAnsi="微软雅黑"/>
          <w:color w:val="0066CC"/>
          <w:sz w:val="21"/>
          <w:u w:val="single"/>
        </w:rPr>
        <w:t>属性和直方图</w:t>
      </w:r>
    </w:p>
    <w:p>
      <w:pPr>
        <w:pStyle w:val="ListBullet"/>
        <w:spacing w:line="360" w:lineRule="auto" w:after="120"/>
      </w:pPr>
      <w:r>
        <w:rPr>
          <w:rFonts w:ascii="微软雅黑" w:hAnsi="微软雅黑"/>
          <w:color w:val="0066CC"/>
          <w:sz w:val="21"/>
          <w:u w:val="single"/>
        </w:rPr>
        <w:t>管理搭建</w:t>
      </w:r>
    </w:p>
    <w:p>
      <w:pPr>
        <w:pStyle w:val="ListBullet"/>
        <w:spacing w:line="360" w:lineRule="auto" w:after="120"/>
      </w:pPr>
      <w:r>
        <w:rPr>
          <w:rFonts w:ascii="微软雅黑" w:hAnsi="微软雅黑"/>
          <w:color w:val="0066CC"/>
          <w:sz w:val="21"/>
          <w:u w:val="single"/>
        </w:rPr>
        <w:t>管理计划</w:t>
      </w:r>
    </w:p>
    <w:p>
      <w:pPr>
        <w:pStyle w:val="ListBullet"/>
        <w:spacing w:line="360" w:lineRule="auto" w:after="120"/>
      </w:pPr>
      <w:r>
        <w:rPr>
          <w:rFonts w:ascii="微软雅黑" w:hAnsi="微软雅黑"/>
          <w:color w:val="0066CC"/>
          <w:sz w:val="21"/>
          <w:u w:val="single"/>
        </w:rPr>
        <w:t>相关工件</w:t>
      </w:r>
    </w:p>
    <w:p>
      <w:pPr>
        <w:pStyle w:val="ListNumber"/>
        <w:spacing w:line="360" w:lineRule="auto" w:after="120"/>
      </w:pPr>
      <w:r>
        <w:rPr>
          <w:rFonts w:ascii="微软雅黑" w:hAnsi="微软雅黑"/>
          <w:color w:val="0066CC"/>
          <w:sz w:val="21"/>
          <w:u w:val="single"/>
        </w:rPr>
        <w:t>节点详情面板</w:t>
      </w:r>
    </w:p>
    <w:p>
      <w:pPr>
        <w:pStyle w:val="ListNumber"/>
        <w:spacing w:line="360" w:lineRule="auto" w:after="120"/>
      </w:pPr>
      <w:r>
        <w:rPr>
          <w:rFonts w:ascii="微软雅黑" w:hAnsi="微软雅黑"/>
          <w:color w:val="0066CC"/>
          <w:sz w:val="21"/>
          <w:u w:val="single"/>
        </w:rPr>
        <w:t>图表工具</w:t>
      </w:r>
    </w:p>
    <w:p>
      <w:pPr>
        <w:pStyle w:val="ListNumber"/>
        <w:spacing w:line="360" w:lineRule="auto" w:after="120"/>
      </w:pPr>
      <w:r>
        <w:rPr>
          <w:rFonts w:ascii="微软雅黑" w:hAnsi="微软雅黑"/>
          <w:color w:val="0066CC"/>
          <w:sz w:val="21"/>
          <w:u w:val="single"/>
        </w:rPr>
        <w:t>保存图表</w:t>
      </w:r>
    </w:p>
    <w:p>
      <w:pPr>
        <w:spacing w:after="40"/>
        <w:jc w:val="center"/>
      </w:pPr>
      <w:r>
        <w:rPr>
          <w:i/>
          <w:color w:val="646464"/>
          <w:sz w:val="18"/>
        </w:rPr>
        <w:t>图：数据沿袭</w:t>
      </w:r>
    </w:p>
    <w:p>
      <w:pPr>
        <w:spacing w:before="120" w:after="240"/>
        <w:jc w:val="center"/>
      </w:pPr>
      <w:r>
        <w:drawing>
          <wp:inline xmlns:a="http://schemas.openxmlformats.org/drawingml/2006/main" xmlns:pic="http://schemas.openxmlformats.org/drawingml/2006/picture">
            <wp:extent cx="5029200" cy="3330013"/>
            <wp:docPr id="35" name="Picture 35"/>
            <wp:cNvGraphicFramePr>
              <a:graphicFrameLocks noChangeAspect="1"/>
            </wp:cNvGraphicFramePr>
            <a:graphic>
              <a:graphicData uri="http://schemas.openxmlformats.org/drawingml/2006/picture">
                <pic:pic>
                  <pic:nvPicPr>
                    <pic:cNvPr id="0" name="data-lineage-ui-reference.png"/>
                    <pic:cNvPicPr/>
                  </pic:nvPicPr>
                  <pic:blipFill>
                    <a:blip r:embed="rId43"/>
                    <a:stretch>
                      <a:fillRect/>
                    </a:stretch>
                  </pic:blipFill>
                  <pic:spPr>
                    <a:xfrm>
                      <a:off x="0" y="0"/>
                      <a:ext cx="5029200" cy="3330013"/>
                    </a:xfrm>
                    <a:prstGeom prst="rect"/>
                  </pic:spPr>
                </pic:pic>
              </a:graphicData>
            </a:graphic>
          </wp:inline>
        </w:drawing>
      </w:r>
    </w:p>
    <w:p>
      <w:pPr>
        <w:pStyle w:val="Heading2"/>
      </w:pPr>
      <w:r>
        <w:rPr>
          <w:rFonts w:ascii="微软雅黑" w:hAnsi="微软雅黑"/>
        </w:rPr>
        <w:t>沿袭图表</w:t>
      </w:r>
    </w:p>
    <w:p>
      <w:pPr>
        <w:spacing w:line="360" w:lineRule="auto" w:after="120"/>
      </w:pPr>
      <w:r>
        <w:rPr>
          <w:rFonts w:ascii="微软雅黑" w:hAnsi="微软雅黑"/>
          <w:sz w:val="21"/>
        </w:rPr>
        <w:t>图表是您的工作区，用于在探索数据管道时安排和操作节点。</w:t>
      </w:r>
    </w:p>
    <w:p>
      <w:pPr>
        <w:spacing w:line="360" w:lineRule="auto" w:after="120"/>
      </w:pPr>
      <w:r>
        <w:rPr>
          <w:rFonts w:ascii="微软雅黑" w:hAnsi="微软雅黑"/>
          <w:sz w:val="21"/>
        </w:rPr>
        <w:t>在图表中添加节点后，可以通过单击节点两侧的箭头或使用</w:t>
      </w:r>
      <w:r>
        <w:rPr>
          <w:rFonts w:ascii="微软雅黑" w:hAnsi="微软雅黑"/>
          <w:color w:val="0066CC"/>
          <w:sz w:val="21"/>
          <w:u w:val="single"/>
        </w:rPr>
        <w:t>图表工具</w:t>
      </w:r>
      <w:r>
        <w:rPr>
          <w:rFonts w:ascii="微软雅黑" w:hAnsi="微软雅黑"/>
          <w:sz w:val="21"/>
        </w:rPr>
        <w:t>中的</w:t>
      </w:r>
      <w:r>
        <w:rPr>
          <w:rFonts w:ascii="微软雅黑" w:hAnsi="微软雅黑"/>
          <w:b/>
          <w:sz w:val="21"/>
        </w:rPr>
        <w:t>展开</w:t>
      </w:r>
      <w:r>
        <w:rPr>
          <w:rFonts w:ascii="微软雅黑" w:hAnsi="微软雅黑"/>
          <w:sz w:val="21"/>
        </w:rPr>
        <w:t>选项来添加相关资源。</w:t>
      </w:r>
    </w:p>
    <w:p>
      <w:pPr>
        <w:spacing w:line="360" w:lineRule="auto" w:after="120"/>
      </w:pPr>
      <w:r>
        <w:rPr>
          <w:rFonts w:ascii="微软雅黑" w:hAnsi="微软雅黑"/>
          <w:sz w:val="21"/>
        </w:rPr>
        <w:t>默认情况下，节点按自动设计排列，但您可以通过单击并拖动手动重新排列节点。要重新启用自动设计，请在</w:t>
      </w:r>
      <w:r>
        <w:rPr>
          <w:rFonts w:ascii="微软雅黑" w:hAnsi="微软雅黑"/>
          <w:color w:val="0066CC"/>
          <w:sz w:val="21"/>
          <w:u w:val="single"/>
        </w:rPr>
        <w:t>图表工具</w:t>
      </w:r>
      <w:r>
        <w:rPr>
          <w:rFonts w:ascii="微软雅黑" w:hAnsi="微软雅黑"/>
          <w:sz w:val="21"/>
        </w:rPr>
        <w:t>中选择</w:t>
      </w:r>
      <w:r>
        <w:rPr>
          <w:rFonts w:ascii="微软雅黑" w:hAnsi="微软雅黑"/>
          <w:b/>
          <w:sz w:val="21"/>
        </w:rPr>
        <w:t>设计所有节点</w:t>
      </w:r>
      <w:r>
        <w:rPr>
          <w:rFonts w:ascii="微软雅黑" w:hAnsi="微软雅黑"/>
          <w:sz w:val="21"/>
        </w:rPr>
        <w:t>选项。</w:t>
      </w:r>
    </w:p>
    <w:p>
      <w:pPr>
        <w:spacing w:line="360" w:lineRule="auto" w:after="120"/>
      </w:pPr>
      <w:r>
        <w:rPr>
          <w:rFonts w:ascii="微软雅黑" w:hAnsi="微软雅黑"/>
          <w:sz w:val="21"/>
        </w:rPr>
        <w:t>在默认的</w:t>
      </w:r>
      <w:r>
        <w:rPr>
          <w:rFonts w:ascii="微软雅黑" w:hAnsi="微软雅黑"/>
          <w:b/>
          <w:sz w:val="21"/>
        </w:rPr>
        <w:t>平移模式</w:t>
      </w:r>
      <w:r>
        <w:rPr>
          <w:rFonts w:ascii="微软雅黑" w:hAnsi="微软雅黑"/>
          <w:sz w:val="21"/>
        </w:rPr>
        <w:t>下，点击并拖动以在图表中移动。要使用光标选择多个节点，请在</w:t>
      </w:r>
      <w:r>
        <w:rPr>
          <w:rFonts w:ascii="微软雅黑" w:hAnsi="微软雅黑"/>
          <w:color w:val="0066CC"/>
          <w:sz w:val="21"/>
          <w:u w:val="single"/>
        </w:rPr>
        <w:t>图表工具</w:t>
      </w:r>
      <w:r>
        <w:rPr>
          <w:rFonts w:ascii="微软雅黑" w:hAnsi="微软雅黑"/>
          <w:sz w:val="21"/>
        </w:rPr>
        <w:t>中切换到</w:t>
      </w:r>
      <w:r>
        <w:rPr>
          <w:rFonts w:ascii="微软雅黑" w:hAnsi="微软雅黑"/>
          <w:b/>
          <w:sz w:val="21"/>
        </w:rPr>
        <w:t>拖动选择</w:t>
      </w:r>
      <w:r>
        <w:rPr>
          <w:rFonts w:ascii="微软雅黑" w:hAnsi="微软雅黑"/>
          <w:sz w:val="21"/>
        </w:rPr>
        <w:t>模式或按住</w:t>
      </w:r>
      <w:r>
        <w:rPr>
          <w:rFonts w:ascii="Consolas" w:hAnsi="Consolas"/>
          <w:color w:val="B43C3C"/>
          <w:sz w:val="18"/>
        </w:rPr>
        <w:t>Shift</w:t>
      </w:r>
      <w:r>
        <w:rPr>
          <w:rFonts w:ascii="微软雅黑" w:hAnsi="微软雅黑"/>
          <w:sz w:val="21"/>
        </w:rPr>
        <w:t>键同时点击并拖动。您可以通过点击选择一个节点，或者通过</w:t>
      </w:r>
      <w:r>
        <w:rPr>
          <w:rFonts w:ascii="Consolas" w:hAnsi="Consolas"/>
          <w:color w:val="B43C3C"/>
          <w:sz w:val="18"/>
        </w:rPr>
        <w:t>Ctrl/Cmd</w:t>
      </w:r>
      <w:r>
        <w:rPr>
          <w:rFonts w:ascii="微软雅黑" w:hAnsi="微软雅黑"/>
          <w:sz w:val="21"/>
        </w:rPr>
        <w:t xml:space="preserve"> + 点击选择多个节点。</w:t>
      </w:r>
    </w:p>
    <w:p>
      <w:pPr>
        <w:pStyle w:val="Heading2"/>
      </w:pPr>
      <w:r>
        <w:rPr>
          <w:rFonts w:ascii="微软雅黑" w:hAnsi="微软雅黑"/>
        </w:rPr>
        <w:t>分支设置</w:t>
      </w:r>
    </w:p>
    <w:p>
      <w:pPr>
        <w:spacing w:line="360" w:lineRule="auto" w:after="120"/>
      </w:pPr>
      <w:r>
        <w:rPr>
          <w:rFonts w:ascii="微软雅黑" w:hAnsi="微软雅黑"/>
          <w:sz w:val="21"/>
        </w:rPr>
        <w:t>从列表中选择一个分支以探索该分支中的数据管道。图表和其他辅助工具将基于所选分支显示信息。如果某个资源不存在该分支，将使用列出的回退分支（按列表中的顺序）。</w:t>
      </w:r>
    </w:p>
    <w:p>
      <w:pPr>
        <w:spacing w:line="360" w:lineRule="auto" w:after="120"/>
      </w:pPr>
      <w:r>
        <w:rPr>
          <w:rFonts w:ascii="微软雅黑" w:hAnsi="微软雅黑"/>
          <w:sz w:val="21"/>
        </w:rPr>
        <w:t>要了解有关分支的更多信息，请参阅</w:t>
      </w:r>
      <w:r>
        <w:rPr>
          <w:rFonts w:ascii="微软雅黑" w:hAnsi="微软雅黑"/>
          <w:color w:val="0066CC"/>
          <w:sz w:val="21"/>
          <w:u w:val="single"/>
        </w:rPr>
        <w:t>分支文档</w:t>
      </w:r>
      <w:r>
        <w:rPr>
          <w:rFonts w:ascii="微软雅黑" w:hAnsi="微软雅黑"/>
          <w:sz w:val="21"/>
        </w:rPr>
        <w:t>。</w:t>
      </w:r>
    </w:p>
    <w:p>
      <w:pPr>
        <w:pStyle w:val="Heading2"/>
      </w:pPr>
      <w:r>
        <w:rPr>
          <w:rFonts w:ascii="微软雅黑" w:hAnsi="微软雅黑"/>
        </w:rPr>
        <w:t>侧边面板</w:t>
      </w:r>
    </w:p>
    <w:p>
      <w:pPr>
        <w:pStyle w:val="Heading3"/>
      </w:pPr>
      <w:r>
        <w:rPr>
          <w:rFonts w:ascii="微软雅黑" w:hAnsi="微软雅黑"/>
        </w:rPr>
        <w:t>搜索和浏览</w:t>
      </w:r>
    </w:p>
    <w:p>
      <w:pPr>
        <w:spacing w:line="360" w:lineRule="auto" w:after="120"/>
      </w:pPr>
      <w:r>
        <w:rPr>
          <w:rFonts w:ascii="微软雅黑" w:hAnsi="微软雅黑"/>
          <w:sz w:val="21"/>
        </w:rPr>
        <w:t>使用搜索助手找到 Foundry 资源并将其添加到图表中。使用自由文本搜索或浏览树以查找资源。通过点击资源添加它，或者使用视图底部的按钮添加所有搜索结果（包括或排除子文件夹的内容）。使用</w:t>
      </w:r>
      <w:r>
        <w:rPr>
          <w:rFonts w:ascii="微软雅黑" w:hAnsi="微软雅黑"/>
          <w:b/>
          <w:sz w:val="21"/>
        </w:rPr>
        <w:t>高级</w:t>
      </w:r>
      <w:r>
        <w:rPr>
          <w:rFonts w:ascii="微软雅黑" w:hAnsi="微软雅黑"/>
          <w:sz w:val="21"/>
        </w:rPr>
        <w:t>选项卡为搜索添加筛选并排序结果。</w:t>
      </w:r>
    </w:p>
    <w:p>
      <w:pPr>
        <w:spacing w:line="360" w:lineRule="auto" w:after="120"/>
      </w:pPr>
      <w:r>
        <w:rPr>
          <w:rFonts w:ascii="微软雅黑" w:hAnsi="微软雅黑"/>
          <w:sz w:val="21"/>
        </w:rPr>
        <w:t>在查看包含子文件夹的文件夹时，可以递归地将所有子文件夹中的\_所有\_表格添加到图表中。一次添加过多节点可能会影响图表的性能。</w:t>
      </w:r>
    </w:p>
    <w:p>
      <w:pPr>
        <w:pStyle w:val="Heading3"/>
      </w:pPr>
      <w:r>
        <w:rPr>
          <w:rFonts w:ascii="微软雅黑" w:hAnsi="微软雅黑"/>
        </w:rPr>
        <w:t>属性和直方图</w:t>
      </w:r>
    </w:p>
    <w:p>
      <w:pPr>
        <w:spacing w:line="360" w:lineRule="auto" w:after="120"/>
      </w:pPr>
      <w:r>
        <w:rPr>
          <w:rFonts w:ascii="微软雅黑" w:hAnsi="微软雅黑"/>
          <w:sz w:val="21"/>
        </w:rPr>
        <w:t>当您在图表中选择一个节点时，属性助手会显示资源的详细信息。根据您选择的资源类型，属性助手会在</w:t>
      </w:r>
      <w:r>
        <w:rPr>
          <w:rFonts w:ascii="微软雅黑" w:hAnsi="微软雅黑"/>
          <w:b/>
          <w:sz w:val="21"/>
        </w:rPr>
        <w:t>操作</w:t>
      </w:r>
      <w:r>
        <w:rPr>
          <w:rFonts w:ascii="微软雅黑" w:hAnsi="微软雅黑"/>
          <w:sz w:val="21"/>
        </w:rPr>
        <w:t>菜单下显示可用的 Foundry 应用程序以及其他链接和操作（报告问题、添加描述等）。</w:t>
      </w:r>
    </w:p>
    <w:p>
      <w:pPr>
        <w:spacing w:line="360" w:lineRule="auto" w:after="120"/>
      </w:pPr>
      <w:r>
        <w:rPr>
          <w:rFonts w:ascii="微软雅黑" w:hAnsi="微软雅黑"/>
          <w:sz w:val="21"/>
        </w:rPr>
        <w:t>当您在图表中选择多个节点时，您将看到直方图助手。助手显示常见属性及其值，以及每个值在图表中出现的次数。点击值时，会突出显示匹配的节点。如果您想深入查看这些资源，请点击</w:t>
      </w:r>
      <w:r>
        <w:rPr>
          <w:rFonts w:ascii="微软雅黑" w:hAnsi="微软雅黑"/>
          <w:b/>
          <w:sz w:val="21"/>
        </w:rPr>
        <w:t>更新选择</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4196396" cy="4114800"/>
            <wp:docPr id="36" name="Picture 36"/>
            <wp:cNvGraphicFramePr>
              <a:graphicFrameLocks noChangeAspect="1"/>
            </wp:cNvGraphicFramePr>
            <a:graphic>
              <a:graphicData uri="http://schemas.openxmlformats.org/drawingml/2006/picture">
                <pic:pic>
                  <pic:nvPicPr>
                    <pic:cNvPr id="0" name="data-lineage-histogram.png"/>
                    <pic:cNvPicPr/>
                  </pic:nvPicPr>
                  <pic:blipFill>
                    <a:blip r:embed="rId44"/>
                    <a:stretch>
                      <a:fillRect/>
                    </a:stretch>
                  </pic:blipFill>
                  <pic:spPr>
                    <a:xfrm>
                      <a:off x="0" y="0"/>
                      <a:ext cx="4196396" cy="4114800"/>
                    </a:xfrm>
                    <a:prstGeom prst="rect"/>
                  </pic:spPr>
                </pic:pic>
              </a:graphicData>
            </a:graphic>
          </wp:inline>
        </w:drawing>
      </w:r>
    </w:p>
    <w:p>
      <w:pPr>
        <w:spacing w:line="360" w:lineRule="auto" w:after="120"/>
      </w:pPr>
      <w:r>
        <w:rPr>
          <w:rFonts w:ascii="微软雅黑" w:hAnsi="微软雅黑"/>
          <w:sz w:val="21"/>
        </w:rPr>
        <w:t>使用直方图中的</w:t>
      </w:r>
      <w:r>
        <w:rPr>
          <w:rFonts w:ascii="微软雅黑" w:hAnsi="微软雅黑"/>
          <w:b/>
          <w:sz w:val="21"/>
        </w:rPr>
        <w:t>复制名称</w:t>
      </w:r>
      <w:r>
        <w:rPr>
          <w:rFonts w:ascii="微软雅黑" w:hAnsi="微软雅黑"/>
          <w:sz w:val="21"/>
        </w:rPr>
        <w:t>按钮复制所有当前选定资源的名称。全名（包括路径）会以逗号分隔的列表形式复制到剪贴板。</w:t>
      </w:r>
    </w:p>
    <w:p>
      <w:pPr>
        <w:pStyle w:val="Heading3"/>
      </w:pPr>
      <w:r>
        <w:rPr>
          <w:rFonts w:ascii="微软雅黑" w:hAnsi="微软雅黑"/>
        </w:rPr>
        <w:t>管理搭建</w:t>
      </w:r>
    </w:p>
    <w:p>
      <w:pPr>
        <w:spacing w:line="360" w:lineRule="auto" w:after="120"/>
      </w:pPr>
      <w:r>
        <w:rPr>
          <w:rFonts w:ascii="微软雅黑" w:hAnsi="微软雅黑"/>
          <w:sz w:val="21"/>
        </w:rPr>
        <w:t>搭建助手为您提供三种搭建策略：</w:t>
      </w:r>
    </w:p>
    <w:p>
      <w:pPr>
        <w:pStyle w:val="ListBullet"/>
        <w:spacing w:line="360" w:lineRule="auto" w:after="120"/>
      </w:pPr>
      <w:r>
        <w:rPr>
          <w:rFonts w:ascii="微软雅黑" w:hAnsi="微软雅黑"/>
          <w:sz w:val="21"/>
        </w:rPr>
        <w:t>仅搭建选定的数据集</w:t>
      </w:r>
    </w:p>
    <w:p>
      <w:pPr>
        <w:pStyle w:val="ListBullet"/>
        <w:spacing w:line="360" w:lineRule="auto" w:after="120"/>
      </w:pPr>
      <w:r>
        <w:rPr>
          <w:rFonts w:ascii="微软雅黑" w:hAnsi="微软雅黑"/>
          <w:sz w:val="21"/>
        </w:rPr>
        <w:t>搭建选定数据集之间的所有数据集</w:t>
      </w:r>
    </w:p>
    <w:p>
      <w:pPr>
        <w:pStyle w:val="ListBullet"/>
        <w:spacing w:line="360" w:lineRule="auto" w:after="120"/>
      </w:pPr>
      <w:r>
        <w:rPr>
          <w:rFonts w:ascii="微软雅黑" w:hAnsi="微软雅黑"/>
          <w:sz w:val="21"/>
        </w:rPr>
        <w:t>搭建选定的数据集及其所有祖先</w:t>
      </w:r>
    </w:p>
    <w:p>
      <w:pPr>
        <w:spacing w:line="360" w:lineRule="auto" w:after="120"/>
      </w:pPr>
      <w:r>
        <w:rPr>
          <w:rFonts w:ascii="微软雅黑" w:hAnsi="微软雅黑"/>
          <w:color w:val="0066CC"/>
          <w:sz w:val="21"/>
          <w:u w:val="single"/>
        </w:rPr>
        <w:t>了解更多关于管理搭建的信息。</w:t>
      </w:r>
    </w:p>
    <w:p>
      <w:pPr>
        <w:pStyle w:val="Heading3"/>
      </w:pPr>
      <w:r>
        <w:rPr>
          <w:rFonts w:ascii="微软雅黑" w:hAnsi="微软雅黑"/>
        </w:rPr>
        <w:t>管理计划</w:t>
      </w:r>
    </w:p>
    <w:p>
      <w:pPr>
        <w:spacing w:line="360" w:lineRule="auto" w:after="120"/>
      </w:pPr>
      <w:r>
        <w:rPr>
          <w:rFonts w:ascii="微软雅黑" w:hAnsi="微软雅黑"/>
          <w:sz w:val="21"/>
        </w:rPr>
        <w:t>计划助手允许您设置和编辑图表中选定资源的搭建计划。</w:t>
      </w:r>
    </w:p>
    <w:p>
      <w:pPr>
        <w:spacing w:line="360" w:lineRule="auto" w:after="120"/>
      </w:pPr>
      <w:r>
        <w:rPr>
          <w:rFonts w:ascii="微软雅黑" w:hAnsi="微软雅黑"/>
          <w:color w:val="0066CC"/>
          <w:sz w:val="21"/>
          <w:u w:val="single"/>
        </w:rPr>
        <w:t>了解更多关于搭建计划的信息。</w:t>
      </w:r>
    </w:p>
    <w:p>
      <w:pPr>
        <w:spacing w:line="360" w:lineRule="auto" w:after="120"/>
      </w:pPr>
      <w:r>
        <w:rPr>
          <w:rFonts w:ascii="微软雅黑" w:hAnsi="微软雅黑"/>
          <w:sz w:val="21"/>
        </w:rPr>
        <w:t>:::callout</w:t>
      </w:r>
    </w:p>
    <w:p>
      <w:pPr>
        <w:spacing w:line="360" w:lineRule="auto" w:after="120"/>
      </w:pPr>
      <w:r>
        <w:rPr>
          <w:rFonts w:ascii="微软雅黑" w:hAnsi="微软雅黑"/>
          <w:sz w:val="21"/>
        </w:rPr>
        <w:t>在数据沿袭中查看和创建计划时，这些计划适用于图表中配置的分支（包括回退分支）。</w:t>
      </w:r>
    </w:p>
    <w:p>
      <w:pPr>
        <w:pStyle w:val="Heading3"/>
      </w:pPr>
      <w:r>
        <w:rPr>
          <w:rFonts w:ascii="微软雅黑" w:hAnsi="微软雅黑"/>
        </w:rPr>
        <w:t>相关工件</w:t>
      </w:r>
    </w:p>
    <w:p>
      <w:pPr>
        <w:spacing w:line="360" w:lineRule="auto" w:after="120"/>
      </w:pPr>
      <w:r>
        <w:rPr>
          <w:rFonts w:ascii="微软雅黑" w:hAnsi="微软雅黑"/>
          <w:sz w:val="21"/>
        </w:rPr>
        <w:t>相关工件助手显示与图表中选定节点直接链接的工件。已删除和自动保存的文件将从列表中排除，除非另有选择。您还可以通过将鼠标悬停在图表中每个节点的右箭头上来访问相同的相关工件列表。</w:t>
      </w:r>
    </w:p>
    <w:p>
      <w:pPr>
        <w:pStyle w:val="Heading2"/>
      </w:pPr>
      <w:r>
        <w:rPr>
          <w:rFonts w:ascii="微软雅黑" w:hAnsi="微软雅黑"/>
        </w:rPr>
        <w:t>节点详情</w:t>
      </w:r>
    </w:p>
    <w:p>
      <w:pPr>
        <w:spacing w:line="360" w:lineRule="auto" w:after="120"/>
      </w:pPr>
      <w:r>
        <w:rPr>
          <w:rFonts w:ascii="微软雅黑" w:hAnsi="微软雅黑"/>
          <w:sz w:val="21"/>
        </w:rPr>
        <w:t>点击一个节点以查看更多详情：</w:t>
      </w:r>
    </w:p>
    <w:p>
      <w:pPr>
        <w:pStyle w:val="ListBullet"/>
        <w:spacing w:line="360" w:lineRule="auto" w:after="120"/>
      </w:pPr>
      <w:r>
        <w:rPr>
          <w:rFonts w:ascii="微软雅黑" w:hAnsi="微软雅黑"/>
          <w:b/>
          <w:sz w:val="21"/>
        </w:rPr>
        <w:t>预览：</w:t>
      </w:r>
      <w:r>
        <w:rPr>
          <w:rFonts w:ascii="微软雅黑" w:hAnsi="微软雅黑"/>
          <w:sz w:val="21"/>
        </w:rPr>
        <w:t xml:space="preserve"> 选定数据集中的数据样本。</w:t>
      </w:r>
    </w:p>
    <w:p>
      <w:pPr>
        <w:pStyle w:val="ListBullet"/>
        <w:spacing w:line="360" w:lineRule="auto" w:after="120"/>
      </w:pPr>
      <w:r>
        <w:rPr>
          <w:rFonts w:ascii="微软雅黑" w:hAnsi="微软雅黑"/>
          <w:b/>
          <w:sz w:val="21"/>
        </w:rPr>
        <w:t>历史：</w:t>
      </w:r>
      <w:r>
        <w:rPr>
          <w:rFonts w:ascii="微软雅黑" w:hAnsi="微软雅黑"/>
          <w:sz w:val="21"/>
        </w:rPr>
        <w:t xml:space="preserve"> 数据集更改历史概览。概览包括日志、文件、元数据、架构和任务规范的选项卡。</w:t>
      </w:r>
    </w:p>
    <w:p>
      <w:pPr>
        <w:pStyle w:val="ListBullet"/>
        <w:spacing w:line="360" w:lineRule="auto" w:after="120"/>
      </w:pPr>
      <w:r>
        <w:rPr>
          <w:rFonts w:ascii="微软雅黑" w:hAnsi="微软雅黑"/>
          <w:b/>
          <w:sz w:val="21"/>
        </w:rPr>
        <w:t>代码：</w:t>
      </w:r>
      <w:r>
        <w:rPr>
          <w:rFonts w:ascii="微软雅黑" w:hAnsi="微软雅黑"/>
          <w:sz w:val="21"/>
        </w:rPr>
        <w:t xml:space="preserve"> 如果使用代码生成数据集，这里会显示</w:t>
      </w:r>
    </w:p>
    <w:p>
      <w:pPr>
        <w:pStyle w:val="ListBullet"/>
        <w:spacing w:line="360" w:lineRule="auto" w:after="120"/>
      </w:pPr>
      <w:r>
        <w:rPr>
          <w:rFonts w:ascii="微软雅黑" w:hAnsi="微软雅黑"/>
          <w:b/>
          <w:sz w:val="21"/>
        </w:rPr>
        <w:t>数据健康：</w:t>
      </w:r>
      <w:r>
        <w:rPr>
          <w:rFonts w:ascii="微软雅黑" w:hAnsi="微软雅黑"/>
          <w:sz w:val="21"/>
        </w:rPr>
        <w:t xml:space="preserve"> 选定数据集上设置的所有</w:t>
      </w:r>
      <w:r>
        <w:rPr>
          <w:rFonts w:ascii="微软雅黑" w:hAnsi="微软雅黑"/>
          <w:color w:val="0066CC"/>
          <w:sz w:val="21"/>
          <w:u w:val="single"/>
        </w:rPr>
        <w:t>健康检查</w:t>
      </w:r>
      <w:r>
        <w:rPr>
          <w:rFonts w:ascii="微软雅黑" w:hAnsi="微软雅黑"/>
          <w:sz w:val="21"/>
        </w:rPr>
        <w:t>。</w:t>
      </w:r>
    </w:p>
    <w:p>
      <w:pPr>
        <w:pStyle w:val="ListBullet"/>
        <w:spacing w:line="360" w:lineRule="auto" w:after="120"/>
      </w:pPr>
      <w:r>
        <w:rPr>
          <w:rFonts w:ascii="微软雅黑" w:hAnsi="微软雅黑"/>
          <w:b/>
          <w:sz w:val="21"/>
        </w:rPr>
        <w:t>搭建时间线：</w:t>
      </w:r>
      <w:r>
        <w:rPr>
          <w:rFonts w:ascii="微软雅黑" w:hAnsi="微软雅黑"/>
          <w:sz w:val="21"/>
        </w:rPr>
        <w:t xml:space="preserve"> 选定数据集实际搭建时间的甘特图。</w:t>
      </w:r>
    </w:p>
    <w:p>
      <w:pPr>
        <w:pStyle w:val="Heading2"/>
      </w:pPr>
      <w:r>
        <w:rPr>
          <w:rFonts w:ascii="微软雅黑" w:hAnsi="微软雅黑"/>
        </w:rPr>
        <w:t>图表工具</w:t>
      </w:r>
    </w:p>
    <w:p>
      <w:pPr>
        <w:spacing w:line="360" w:lineRule="auto" w:after="120"/>
      </w:pPr>
      <w:r>
        <w:rPr>
          <w:rFonts w:ascii="微软雅黑" w:hAnsi="微软雅黑"/>
          <w:sz w:val="21"/>
        </w:rPr>
        <w:t>图表工具提供了一组图表探索、导航和自定义功能：</w:t>
      </w:r>
    </w:p>
    <w:p>
      <w:pPr>
        <w:pStyle w:val="ListBullet"/>
        <w:spacing w:line="360" w:lineRule="auto" w:after="120"/>
      </w:pPr>
      <w:r>
        <w:rPr>
          <w:rFonts w:ascii="微软雅黑" w:hAnsi="微软雅黑"/>
          <w:color w:val="0066CC"/>
          <w:sz w:val="21"/>
          <w:u w:val="single"/>
        </w:rPr>
        <w:t>节点着色</w:t>
      </w:r>
    </w:p>
    <w:p>
      <w:pPr>
        <w:pStyle w:val="ListBullet"/>
        <w:spacing w:line="360" w:lineRule="auto" w:after="120"/>
      </w:pPr>
      <w:r>
        <w:rPr>
          <w:rFonts w:ascii="微软雅黑" w:hAnsi="微软雅黑"/>
          <w:color w:val="0066CC"/>
          <w:sz w:val="21"/>
          <w:u w:val="single"/>
        </w:rPr>
        <w:t>设计</w:t>
      </w:r>
    </w:p>
    <w:p>
      <w:pPr>
        <w:pStyle w:val="ListBullet"/>
        <w:spacing w:line="360" w:lineRule="auto" w:after="120"/>
      </w:pPr>
      <w:r>
        <w:rPr>
          <w:rFonts w:ascii="微软雅黑" w:hAnsi="微软雅黑"/>
          <w:color w:val="0066CC"/>
          <w:sz w:val="21"/>
          <w:u w:val="single"/>
        </w:rPr>
        <w:t>展开</w:t>
      </w:r>
    </w:p>
    <w:p>
      <w:pPr>
        <w:pStyle w:val="ListBullet"/>
        <w:spacing w:line="360" w:lineRule="auto" w:after="120"/>
      </w:pPr>
      <w:r>
        <w:rPr>
          <w:rFonts w:ascii="微软雅黑" w:hAnsi="微软雅黑"/>
          <w:color w:val="0066CC"/>
          <w:sz w:val="21"/>
          <w:u w:val="single"/>
        </w:rPr>
        <w:t>查找</w:t>
      </w:r>
    </w:p>
    <w:p>
      <w:pPr>
        <w:pStyle w:val="ListBullet"/>
        <w:spacing w:line="360" w:lineRule="auto" w:after="120"/>
      </w:pPr>
      <w:r>
        <w:rPr>
          <w:rFonts w:ascii="微软雅黑" w:hAnsi="微软雅黑"/>
          <w:color w:val="0066CC"/>
          <w:sz w:val="21"/>
          <w:u w:val="single"/>
        </w:rPr>
        <w:t>选择</w:t>
      </w:r>
    </w:p>
    <w:p>
      <w:pPr>
        <w:pStyle w:val="Heading3"/>
      </w:pPr>
      <w:r>
        <w:rPr>
          <w:rFonts w:ascii="微软雅黑" w:hAnsi="微软雅黑"/>
        </w:rPr>
        <w:t>节点着色</w:t>
      </w:r>
    </w:p>
    <w:p>
      <w:pPr>
        <w:spacing w:line="360" w:lineRule="auto" w:after="120"/>
      </w:pPr>
      <w:r>
        <w:rPr>
          <w:rFonts w:ascii="微软雅黑" w:hAnsi="微软雅黑"/>
          <w:sz w:val="21"/>
        </w:rPr>
        <w:t>您可以按多个属性和指标为沿袭图中的节点着色。节点着色通常用于传达沿袭结构、排除故障、监控管道健康状况和管理搭建。您还可以创建自己的自定义着色，并根据分配的颜色排列图表。</w:t>
      </w:r>
    </w:p>
    <w:p>
      <w:pPr>
        <w:spacing w:line="360" w:lineRule="auto" w:after="120"/>
      </w:pPr>
      <w:r>
        <w:rPr>
          <w:rFonts w:ascii="微软雅黑" w:hAnsi="微软雅黑"/>
          <w:color w:val="0066CC"/>
          <w:sz w:val="21"/>
          <w:u w:val="single"/>
        </w:rPr>
        <w:t>阅读更多关于节点着色选项的信息。</w:t>
      </w:r>
    </w:p>
    <w:p>
      <w:pPr>
        <w:spacing w:line="360" w:lineRule="auto" w:after="120"/>
      </w:pPr>
      <w:r>
        <w:rPr>
          <w:rFonts w:ascii="微软雅黑" w:hAnsi="微软雅黑"/>
          <w:sz w:val="21"/>
        </w:rPr>
        <w:t>您可以在图表中按颜色组排列节点，位于</w:t>
      </w:r>
      <w:r>
        <w:rPr>
          <w:rFonts w:ascii="微软雅黑" w:hAnsi="微软雅黑"/>
          <w:b/>
          <w:sz w:val="21"/>
        </w:rPr>
        <w:t>设计</w:t>
      </w:r>
      <w:r>
        <w:rPr>
          <w:rFonts w:ascii="微软雅黑" w:hAnsi="微软雅黑"/>
          <w:sz w:val="21"/>
        </w:rPr>
        <w:t>下。</w:t>
      </w:r>
    </w:p>
    <w:p>
      <w:pPr>
        <w:pStyle w:val="Heading3"/>
      </w:pPr>
      <w:r>
        <w:rPr>
          <w:rFonts w:ascii="微软雅黑" w:hAnsi="微软雅黑"/>
        </w:rPr>
        <w:t>设计</w:t>
      </w:r>
    </w:p>
    <w:p>
      <w:pPr>
        <w:spacing w:line="360" w:lineRule="auto" w:after="120"/>
      </w:pPr>
      <w:r>
        <w:rPr>
          <w:rFonts w:ascii="微软雅黑" w:hAnsi="微软雅黑"/>
          <w:sz w:val="21"/>
        </w:rPr>
        <w:t>设计按钮为图表中的节点提供各种排列选项。</w:t>
      </w:r>
    </w:p>
    <w:p>
      <w:r>
        <w:rPr>
          <w:rFonts w:ascii="微软雅黑" w:hAnsi="微软雅黑"/>
          <w:b/>
        </w:rPr>
        <w:t>设计所有节点</w:t>
      </w:r>
      <w:r>
        <w:rPr>
          <w:rFonts w:ascii="微软雅黑" w:hAnsi="微软雅黑"/>
        </w:rPr>
        <w:t>：为图表中的所有节点应用自动设计。当您在图表中选择多个节点时，您可以应用其他设计（垂直、层次结构、按级别等）。</w:t>
      </w:r>
    </w:p>
    <w:p>
      <w:pPr>
        <w:spacing w:line="360" w:lineRule="auto" w:after="120"/>
      </w:pPr>
      <w:r>
        <w:rPr>
          <w:rFonts w:ascii="微软雅黑" w:hAnsi="微软雅黑"/>
          <w:sz w:val="21"/>
        </w:rPr>
        <w:t>您可以在沿袭图中使用各种有用的键盘快捷键。在应用程序右上角的</w:t>
      </w:r>
      <w:r>
        <w:rPr>
          <w:rFonts w:ascii="微软雅黑" w:hAnsi="微软雅黑"/>
          <w:b/>
          <w:sz w:val="21"/>
        </w:rPr>
        <w:t>键盘快捷键</w:t>
      </w:r>
      <w:r>
        <w:rPr>
          <w:rFonts w:ascii="微软雅黑" w:hAnsi="微软雅黑"/>
          <w:sz w:val="21"/>
        </w:rPr>
        <w:t>按钮下查看完整列表。</w:t>
      </w:r>
    </w:p>
    <w:p>
      <w:pPr>
        <w:pStyle w:val="Heading3"/>
      </w:pPr>
      <w:r>
        <w:rPr>
          <w:rFonts w:ascii="微软雅黑" w:hAnsi="微软雅黑"/>
        </w:rPr>
        <w:t>展开</w:t>
      </w:r>
    </w:p>
    <w:p>
      <w:pPr>
        <w:spacing w:line="360" w:lineRule="auto" w:after="120"/>
      </w:pPr>
      <w:r>
        <w:rPr>
          <w:rFonts w:ascii="微软雅黑" w:hAnsi="微软雅黑"/>
          <w:sz w:val="21"/>
        </w:rPr>
        <w:t>使用</w:t>
      </w:r>
      <w:r>
        <w:rPr>
          <w:rFonts w:ascii="微软雅黑" w:hAnsi="微软雅黑"/>
          <w:b/>
          <w:sz w:val="21"/>
        </w:rPr>
        <w:t>展开</w:t>
      </w:r>
      <w:r>
        <w:rPr>
          <w:rFonts w:ascii="微软雅黑" w:hAnsi="微软雅黑"/>
          <w:sz w:val="21"/>
        </w:rPr>
        <w:t>工具揭示图表中节点的祖先和后代。</w:t>
      </w:r>
      <w:r>
        <w:rPr>
          <w:rFonts w:ascii="微软雅黑" w:hAnsi="微软雅黑"/>
          <w:color w:val="0066CC"/>
          <w:sz w:val="21"/>
          <w:u w:val="single"/>
        </w:rPr>
        <w:t>了解更多关于探索数据沿袭的信息。</w:t>
      </w:r>
    </w:p>
    <w:p>
      <w:pPr>
        <w:pStyle w:val="Heading3"/>
      </w:pPr>
      <w:r>
        <w:rPr>
          <w:rFonts w:ascii="微软雅黑" w:hAnsi="微软雅黑"/>
        </w:rPr>
        <w:t>查找</w:t>
      </w:r>
    </w:p>
    <w:p>
      <w:pPr>
        <w:spacing w:line="360" w:lineRule="auto" w:after="120"/>
      </w:pPr>
      <w:r>
        <w:rPr>
          <w:rFonts w:ascii="微软雅黑" w:hAnsi="微软雅黑"/>
          <w:sz w:val="21"/>
        </w:rPr>
        <w:t>使用</w:t>
      </w:r>
      <w:r>
        <w:rPr>
          <w:rFonts w:ascii="微软雅黑" w:hAnsi="微软雅黑"/>
          <w:b/>
          <w:sz w:val="21"/>
        </w:rPr>
        <w:t>查找</w:t>
      </w:r>
      <w:r>
        <w:rPr>
          <w:rFonts w:ascii="微软雅黑" w:hAnsi="微软雅黑"/>
          <w:sz w:val="21"/>
        </w:rPr>
        <w:t>在图表中搜索节点。您可以搜索节点名称或数据集中的列名称。</w:t>
      </w:r>
    </w:p>
    <w:p>
      <w:pPr>
        <w:pStyle w:val="Heading3"/>
      </w:pPr>
      <w:r>
        <w:rPr>
          <w:rFonts w:ascii="微软雅黑" w:hAnsi="微软雅黑"/>
        </w:rPr>
        <w:t>选择</w:t>
      </w:r>
    </w:p>
    <w:p>
      <w:r>
        <w:rPr>
          <w:rFonts w:ascii="微软雅黑" w:hAnsi="微软雅黑"/>
          <w:b/>
        </w:rPr>
        <w:t>选择</w:t>
      </w:r>
      <w:r>
        <w:rPr>
          <w:rFonts w:ascii="微软雅黑" w:hAnsi="微软雅黑"/>
        </w:rPr>
        <w:t>：工具允许您轻松选择图表中的节点：</w:t>
      </w:r>
    </w:p>
    <w:p>
      <w:pPr>
        <w:pStyle w:val="ListBullet"/>
        <w:spacing w:line="360" w:lineRule="auto" w:after="120"/>
      </w:pPr>
      <w:r>
        <w:rPr>
          <w:rFonts w:ascii="微软雅黑" w:hAnsi="微软雅黑"/>
          <w:b/>
          <w:sz w:val="21"/>
        </w:rPr>
        <w:t>全选：</w:t>
      </w:r>
      <w:r>
        <w:rPr>
          <w:rFonts w:ascii="微软雅黑" w:hAnsi="微软雅黑"/>
          <w:sz w:val="21"/>
        </w:rPr>
        <w:t xml:space="preserve"> 选择图表中当前所有节点。</w:t>
      </w:r>
    </w:p>
    <w:p>
      <w:pPr>
        <w:pStyle w:val="ListBullet"/>
        <w:spacing w:line="360" w:lineRule="auto" w:after="120"/>
      </w:pPr>
      <w:r>
        <w:rPr>
          <w:rFonts w:ascii="微软雅黑" w:hAnsi="微软雅黑"/>
          <w:b/>
          <w:sz w:val="21"/>
        </w:rPr>
        <w:t>反选：</w:t>
      </w:r>
      <w:r>
        <w:rPr>
          <w:rFonts w:ascii="微软雅黑" w:hAnsi="微软雅黑"/>
          <w:sz w:val="21"/>
        </w:rPr>
        <w:t xml:space="preserve"> 取消选择当前选定的所有节点，并选择图表中的其他节点。</w:t>
      </w:r>
    </w:p>
    <w:p>
      <w:pPr>
        <w:pStyle w:val="ListBullet"/>
        <w:spacing w:line="360" w:lineRule="auto" w:after="120"/>
      </w:pPr>
      <w:r>
        <w:rPr>
          <w:rFonts w:ascii="微软雅黑" w:hAnsi="微软雅黑"/>
          <w:b/>
          <w:sz w:val="21"/>
        </w:rPr>
        <w:t>选择子节点：</w:t>
      </w:r>
      <w:r>
        <w:rPr>
          <w:rFonts w:ascii="微软雅黑" w:hAnsi="微软雅黑"/>
          <w:sz w:val="21"/>
        </w:rPr>
        <w:t xml:space="preserve"> 将当前选定节点的所有直接子节点添加到您的选择中</w:t>
      </w:r>
    </w:p>
    <w:p>
      <w:pPr>
        <w:pStyle w:val="ListBullet"/>
        <w:spacing w:line="360" w:lineRule="auto" w:after="120"/>
      </w:pPr>
      <w:r>
        <w:rPr>
          <w:rFonts w:ascii="微软雅黑" w:hAnsi="微软雅黑"/>
          <w:b/>
          <w:sz w:val="21"/>
        </w:rPr>
        <w:t>选择父节点：</w:t>
      </w:r>
      <w:r>
        <w:rPr>
          <w:rFonts w:ascii="微软雅黑" w:hAnsi="微软雅黑"/>
          <w:sz w:val="21"/>
        </w:rPr>
        <w:t xml:space="preserve"> 将当前选定节点的所有直接父节点添加到您的选择中。</w:t>
      </w:r>
    </w:p>
    <w:p>
      <w:pPr>
        <w:pStyle w:val="Heading2"/>
      </w:pPr>
      <w:r>
        <w:rPr>
          <w:rFonts w:ascii="微软雅黑" w:hAnsi="微软雅黑"/>
        </w:rPr>
        <w:t>保存图表</w:t>
      </w:r>
    </w:p>
    <w:p>
      <w:pPr>
        <w:spacing w:line="360" w:lineRule="auto" w:after="120"/>
      </w:pPr>
      <w:r>
        <w:rPr>
          <w:rFonts w:ascii="微软雅黑" w:hAnsi="微软雅黑"/>
          <w:sz w:val="21"/>
        </w:rPr>
        <w:t>您可以通过以下方式保存和分享您的沿袭图表给其他 Foundry 用户：</w:t>
      </w:r>
    </w:p>
    <w:p>
      <w:pPr>
        <w:pStyle w:val="ListBullet"/>
        <w:spacing w:line="360" w:lineRule="auto" w:after="120"/>
      </w:pPr>
      <w:r>
        <w:rPr>
          <w:rFonts w:ascii="微软雅黑" w:hAnsi="微软雅黑"/>
          <w:b/>
          <w:sz w:val="21"/>
        </w:rPr>
        <w:t>保存/打开：</w:t>
      </w:r>
      <w:r>
        <w:rPr>
          <w:rFonts w:ascii="微软雅黑" w:hAnsi="微软雅黑"/>
          <w:sz w:val="21"/>
        </w:rPr>
        <w:t xml:space="preserve"> 保存您的数据沿袭图表，并通过点击</w:t>
      </w:r>
      <w:r>
        <w:rPr>
          <w:rFonts w:ascii="微软雅黑" w:hAnsi="微软雅黑"/>
          <w:b/>
          <w:sz w:val="21"/>
        </w:rPr>
        <w:t>打开图表</w:t>
      </w:r>
      <w:r>
        <w:rPr>
          <w:rFonts w:ascii="微软雅黑" w:hAnsi="微软雅黑"/>
          <w:sz w:val="21"/>
        </w:rPr>
        <w:t>重新打开它。</w:t>
      </w:r>
    </w:p>
    <w:p>
      <w:pPr>
        <w:pStyle w:val="ListBullet"/>
        <w:spacing w:line="360" w:lineRule="auto" w:after="120"/>
      </w:pPr>
      <w:r>
        <w:rPr>
          <w:rFonts w:ascii="微软雅黑" w:hAnsi="微软雅黑"/>
          <w:b/>
          <w:sz w:val="21"/>
        </w:rPr>
        <w:t>获取快速分享链接：</w:t>
      </w:r>
      <w:r>
        <w:rPr>
          <w:rFonts w:ascii="微软雅黑" w:hAnsi="微软雅黑"/>
          <w:sz w:val="21"/>
        </w:rPr>
        <w:t xml:space="preserve"> 生成一个可共享的链接，提供对图表的只读访问。</w:t>
      </w:r>
    </w:p>
    <w:p>
      <w:pPr>
        <w:pStyle w:val="ListBullet"/>
        <w:spacing w:line="360" w:lineRule="auto" w:after="120"/>
      </w:pPr>
      <w:r>
        <w:rPr>
          <w:rFonts w:ascii="微软雅黑" w:hAnsi="微软雅黑"/>
          <w:b/>
          <w:sz w:val="21"/>
        </w:rPr>
        <w:t>以SVG格式导出图表：</w:t>
      </w:r>
      <w:r>
        <w:rPr>
          <w:rFonts w:ascii="微软雅黑" w:hAnsi="微软雅黑"/>
          <w:sz w:val="21"/>
        </w:rPr>
        <w:t xml:space="preserve"> 生成沿袭图表的静态图像。</w:t>
      </w:r>
    </w:p>
    <w:p>
      <w:pPr>
        <w:spacing w:line="360" w:lineRule="auto" w:after="120"/>
      </w:pPr>
      <w:r>
        <w:rPr>
          <w:rFonts w:ascii="微软雅黑" w:hAnsi="微软雅黑"/>
          <w:sz w:val="21"/>
        </w:rPr>
        <w:t>:::callout</w:t>
      </w:r>
    </w:p>
    <w:p>
      <w:pPr>
        <w:spacing w:line="360" w:lineRule="auto" w:after="120"/>
      </w:pPr>
      <w:r>
        <w:rPr>
          <w:rFonts w:ascii="微软雅黑" w:hAnsi="微软雅黑"/>
          <w:sz w:val="21"/>
        </w:rPr>
        <w:t>您的分支选择将与您保存的图表一起保存。如果您加载的图表与当前配置的分支不同，系统会询问您是否要切换到保存的分支配置。</w:t>
      </w:r>
    </w:p>
    <w:p>
      <w:r>
        <w:br w:type="page"/>
      </w:r>
    </w:p>
    <w:p>
      <w:pPr>
        <w:pStyle w:val="Heading1"/>
      </w:pPr>
      <w:r>
        <w:rPr>
          <w:rFonts w:ascii="微软雅黑" w:hAnsi="微软雅黑"/>
        </w:rPr>
        <w:t>节点着色</w:t>
      </w:r>
    </w:p>
    <w:p>
      <w:pPr>
        <w:spacing w:line="360" w:lineRule="auto" w:after="120"/>
      </w:pPr>
      <w:r>
        <w:rPr>
          <w:rFonts w:ascii="微软雅黑" w:hAnsi="微软雅黑"/>
          <w:sz w:val="21"/>
        </w:rPr>
        <w:t># 节点着色</w:t>
      </w:r>
    </w:p>
    <w:p>
      <w:pPr>
        <w:spacing w:line="360" w:lineRule="auto" w:after="120"/>
      </w:pPr>
      <w:r>
        <w:rPr>
          <w:rFonts w:ascii="微软雅黑" w:hAnsi="微软雅黑"/>
          <w:sz w:val="21"/>
        </w:rPr>
        <w:t>有几种内置选项可以为图形节点着色，以便为您提供有关管道的更多信息：</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着色选项</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**无颜色**</w:t>
            </w:r>
          </w:p>
        </w:tc>
        <w:tc>
          <w:tcPr>
            <w:tcW w:type="dxa" w:w="4451"/>
          </w:tcPr>
          <w:p>
            <w:pPr>
              <w:spacing w:after="40" w:before="40"/>
            </w:pPr>
            <w:r>
              <w:rPr>
                <w:rFonts w:ascii="微软雅黑" w:hAnsi="微软雅黑"/>
                <w:sz w:val="20"/>
              </w:rPr>
              <w:t>将完全移除颜色</w:t>
            </w:r>
          </w:p>
        </w:tc>
      </w:tr>
      <w:tr>
        <w:tc>
          <w:tcPr>
            <w:tcW w:type="dxa" w:w="4451"/>
          </w:tcPr>
          <w:p>
            <w:pPr>
              <w:spacing w:after="40" w:before="40"/>
            </w:pPr>
            <w:r>
              <w:rPr>
                <w:rFonts w:ascii="微软雅黑" w:hAnsi="微软雅黑"/>
                <w:sz w:val="20"/>
              </w:rPr>
              <w:t>**自定义颜色**</w:t>
            </w:r>
          </w:p>
        </w:tc>
        <w:tc>
          <w:tcPr>
            <w:tcW w:type="dxa" w:w="4451"/>
          </w:tcPr>
          <w:p>
            <w:pPr>
              <w:spacing w:after="40" w:before="40"/>
            </w:pPr>
            <w:r>
              <w:rPr>
                <w:rFonts w:ascii="微软雅黑" w:hAnsi="微软雅黑"/>
                <w:sz w:val="20"/>
              </w:rPr>
              <w:t>允许您通过点击**颜色**按钮选择节点并为其指派颜色</w:t>
            </w:r>
          </w:p>
        </w:tc>
      </w:tr>
      <w:tr>
        <w:tc>
          <w:tcPr>
            <w:tcW w:type="dxa" w:w="4451"/>
          </w:tcPr>
          <w:p>
            <w:pPr>
              <w:spacing w:after="40" w:before="40"/>
            </w:pPr>
            <w:r>
              <w:rPr>
                <w:rFonts w:ascii="微软雅黑" w:hAnsi="微软雅黑"/>
                <w:sz w:val="20"/>
              </w:rPr>
              <w:t>**数据目录**</w:t>
            </w:r>
          </w:p>
        </w:tc>
        <w:tc>
          <w:tcPr>
            <w:tcW w:type="dxa" w:w="4451"/>
          </w:tcPr>
          <w:p>
            <w:pPr>
              <w:spacing w:after="40" w:before="40"/>
            </w:pPr>
            <w:r>
              <w:rPr>
                <w:rFonts w:ascii="微软雅黑" w:hAnsi="微软雅黑"/>
                <w:sz w:val="20"/>
              </w:rPr>
              <w:t>节点将根据其所在的数据目录集合进行着色。如果节点属于多个集合，则会被着色为“属于多个集合”</w:t>
            </w:r>
          </w:p>
        </w:tc>
      </w:tr>
      <w:tr>
        <w:tc>
          <w:tcPr>
            <w:tcW w:type="dxa" w:w="4451"/>
          </w:tcPr>
          <w:p>
            <w:pPr>
              <w:spacing w:after="40" w:before="40"/>
            </w:pPr>
            <w:r>
              <w:rPr>
                <w:rFonts w:ascii="微软雅黑" w:hAnsi="微软雅黑"/>
                <w:sz w:val="20"/>
              </w:rPr>
              <w:t>**文件夹**</w:t>
            </w:r>
          </w:p>
        </w:tc>
        <w:tc>
          <w:tcPr>
            <w:tcW w:type="dxa" w:w="4451"/>
          </w:tcPr>
          <w:p>
            <w:pPr>
              <w:spacing w:after="40" w:before="40"/>
            </w:pPr>
            <w:r>
              <w:rPr>
                <w:rFonts w:ascii="微软雅黑" w:hAnsi="微软雅黑"/>
                <w:sz w:val="20"/>
              </w:rPr>
              <w:t>按资源所在文件夹的名称为节点着色</w:t>
            </w:r>
          </w:p>
        </w:tc>
      </w:tr>
      <w:tr>
        <w:tc>
          <w:tcPr>
            <w:tcW w:type="dxa" w:w="4451"/>
          </w:tcPr>
          <w:p>
            <w:pPr>
              <w:spacing w:after="40" w:before="40"/>
            </w:pPr>
            <w:r>
              <w:rPr>
                <w:rFonts w:ascii="微软雅黑" w:hAnsi="微软雅黑"/>
                <w:sz w:val="20"/>
              </w:rPr>
              <w:t>**问题**</w:t>
            </w:r>
          </w:p>
        </w:tc>
        <w:tc>
          <w:tcPr>
            <w:tcW w:type="dxa" w:w="4451"/>
          </w:tcPr>
          <w:p>
            <w:pPr>
              <w:spacing w:after="40" w:before="40"/>
            </w:pPr>
            <w:r>
              <w:rPr>
                <w:rFonts w:ascii="微软雅黑" w:hAnsi="微软雅黑"/>
                <w:sz w:val="20"/>
              </w:rPr>
              <w:t>按指派给它们的Foundry问题数量为节点着色。此选项还允许您通过问题标签进行筛选。</w:t>
            </w:r>
          </w:p>
        </w:tc>
      </w:tr>
      <w:tr>
        <w:tc>
          <w:tcPr>
            <w:tcW w:type="dxa" w:w="4451"/>
          </w:tcPr>
          <w:p>
            <w:pPr>
              <w:spacing w:after="40" w:before="40"/>
            </w:pPr>
            <w:r>
              <w:rPr>
                <w:rFonts w:ascii="微软雅黑" w:hAnsi="微软雅黑"/>
                <w:sz w:val="20"/>
              </w:rPr>
              <w:t>**权限**</w:t>
            </w:r>
          </w:p>
        </w:tc>
        <w:tc>
          <w:tcPr>
            <w:tcW w:type="dxa" w:w="4451"/>
          </w:tcPr>
          <w:p>
            <w:pPr>
              <w:spacing w:after="40" w:before="40"/>
            </w:pPr>
            <w:r>
              <w:rPr>
                <w:rFonts w:ascii="微软雅黑" w:hAnsi="微软雅黑"/>
                <w:sz w:val="20"/>
              </w:rPr>
              <w:t>按用户对数据或资源的访问级别为节点着色。如果您有权访问图中的资源，此视图还允许您选择任何Foundry用户并查看其权限。</w:t>
            </w:r>
          </w:p>
        </w:tc>
      </w:tr>
      <w:tr>
        <w:tc>
          <w:tcPr>
            <w:tcW w:type="dxa" w:w="4451"/>
          </w:tcPr>
          <w:p>
            <w:pPr>
              <w:spacing w:after="40" w:before="40"/>
            </w:pPr>
            <w:r>
              <w:rPr>
                <w:rFonts w:ascii="微软雅黑" w:hAnsi="微软雅黑"/>
                <w:sz w:val="20"/>
              </w:rPr>
              <w:t>**项目**</w:t>
            </w:r>
          </w:p>
        </w:tc>
        <w:tc>
          <w:tcPr>
            <w:tcW w:type="dxa" w:w="4451"/>
          </w:tcPr>
          <w:p>
            <w:pPr>
              <w:spacing w:after="40" w:before="40"/>
            </w:pPr>
            <w:r>
              <w:rPr>
                <w:rFonts w:ascii="微软雅黑" w:hAnsi="微软雅黑"/>
                <w:sz w:val="20"/>
              </w:rPr>
              <w:t>根据它们所在的Foundry项目为节点着色。</w:t>
            </w:r>
          </w:p>
        </w:tc>
      </w:tr>
      <w:tr>
        <w:tc>
          <w:tcPr>
            <w:tcW w:type="dxa" w:w="4451"/>
          </w:tcPr>
          <w:p>
            <w:pPr>
              <w:spacing w:after="40" w:before="40"/>
            </w:pPr>
            <w:r>
              <w:rPr>
                <w:rFonts w:ascii="微软雅黑" w:hAnsi="微软雅黑"/>
                <w:sz w:val="20"/>
              </w:rPr>
              <w:t>**存储库**</w:t>
            </w:r>
          </w:p>
        </w:tc>
        <w:tc>
          <w:tcPr>
            <w:tcW w:type="dxa" w:w="4451"/>
          </w:tcPr>
          <w:p>
            <w:pPr>
              <w:spacing w:after="40" w:before="40"/>
            </w:pPr>
            <w:r>
              <w:rPr>
                <w:rFonts w:ascii="微软雅黑" w:hAnsi="微软雅黑"/>
                <w:sz w:val="20"/>
              </w:rPr>
              <w:t>根据创建它们的代码存储库为节点着色。您可以按存储库名称或其类型（例如代码存储库、代码工作簿）为节点着色。</w:t>
            </w:r>
          </w:p>
        </w:tc>
      </w:tr>
      <w:tr>
        <w:tc>
          <w:tcPr>
            <w:tcW w:type="dxa" w:w="4451"/>
          </w:tcPr>
          <w:p>
            <w:pPr>
              <w:spacing w:after="40" w:before="40"/>
            </w:pPr>
            <w:r>
              <w:rPr>
                <w:rFonts w:ascii="微软雅黑" w:hAnsi="微软雅黑"/>
                <w:sz w:val="20"/>
              </w:rPr>
              <w:t>**资源类型**</w:t>
            </w:r>
          </w:p>
        </w:tc>
        <w:tc>
          <w:tcPr>
            <w:tcW w:type="dxa" w:w="4451"/>
          </w:tcPr>
          <w:p>
            <w:pPr>
              <w:spacing w:after="40" w:before="40"/>
            </w:pPr>
            <w:r>
              <w:rPr>
                <w:rFonts w:ascii="微软雅黑" w:hAnsi="微软雅黑"/>
                <w:sz w:val="20"/>
              </w:rPr>
              <w:t>此视图按资源类型为节点着色。资源类型主要指资源的创建方式（例如，Contour、代码工作簿、Fusion电子表格同步、上传等）。</w:t>
            </w:r>
          </w:p>
        </w:tc>
      </w:tr>
      <w:tr>
        <w:tc>
          <w:tcPr>
            <w:tcW w:type="dxa" w:w="4451"/>
          </w:tcPr>
          <w:p>
            <w:pPr>
              <w:spacing w:after="40" w:before="40"/>
            </w:pPr>
            <w:r>
              <w:rPr>
                <w:rFonts w:ascii="微软雅黑" w:hAnsi="微软雅黑"/>
                <w:sz w:val="20"/>
              </w:rPr>
              <w:t>**构建状态**</w:t>
            </w:r>
          </w:p>
        </w:tc>
        <w:tc>
          <w:tcPr>
            <w:tcW w:type="dxa" w:w="4451"/>
          </w:tcPr>
          <w:p>
            <w:pPr>
              <w:spacing w:after="40" w:before="40"/>
            </w:pPr>
            <w:r>
              <w:rPr>
                <w:rFonts w:ascii="微软雅黑" w:hAnsi="微软雅黑"/>
                <w:sz w:val="20"/>
              </w:rPr>
              <w:t>指示图中每个数据集的当前构建状态。如果节点被分组，将显示更严重的状态。</w:t>
            </w:r>
          </w:p>
        </w:tc>
      </w:tr>
      <w:tr>
        <w:tc>
          <w:tcPr>
            <w:tcW w:type="dxa" w:w="4451"/>
          </w:tcPr>
          <w:p>
            <w:pPr>
              <w:spacing w:after="40" w:before="40"/>
            </w:pPr>
            <w:r>
              <w:rPr>
                <w:rFonts w:ascii="微软雅黑" w:hAnsi="微软雅黑"/>
                <w:sz w:val="20"/>
              </w:rPr>
              <w:t>**数据健康**</w:t>
            </w:r>
          </w:p>
        </w:tc>
        <w:tc>
          <w:tcPr>
            <w:tcW w:type="dxa" w:w="4451"/>
          </w:tcPr>
          <w:p>
            <w:pPr>
              <w:spacing w:after="40" w:before="40"/>
            </w:pPr>
            <w:r>
              <w:rPr>
                <w:rFonts w:ascii="微软雅黑" w:hAnsi="微软雅黑"/>
                <w:sz w:val="20"/>
              </w:rPr>
              <w:t>指示资源健康检查的状态，并能够筛选仅监控的健康检查。如果节点被分组，组的颜色将指示该组最严重的健康检查状态。</w:t>
            </w:r>
          </w:p>
        </w:tc>
      </w:tr>
      <w:tr>
        <w:tc>
          <w:tcPr>
            <w:tcW w:type="dxa" w:w="4451"/>
          </w:tcPr>
          <w:p>
            <w:pPr>
              <w:spacing w:after="40" w:before="40"/>
            </w:pPr>
            <w:r>
              <w:rPr>
                <w:rFonts w:ascii="微软雅黑" w:hAnsi="微软雅黑"/>
                <w:sz w:val="20"/>
              </w:rPr>
              <w:t>**过时**</w:t>
            </w:r>
          </w:p>
        </w:tc>
        <w:tc>
          <w:tcPr>
            <w:tcW w:type="dxa" w:w="4451"/>
          </w:tcPr>
          <w:p>
            <w:pPr>
              <w:spacing w:after="40" w:before="40"/>
            </w:pPr>
            <w:r>
              <w:rPr>
                <w:rFonts w:ascii="微软雅黑" w:hAnsi="微软雅黑"/>
                <w:sz w:val="20"/>
              </w:rPr>
              <w:t>此选项将指示数据或逻辑是否相对于数据集祖先过时。 &lt;br&gt; **与父级过时** 意味着资源的直接父级已更新，而资源本身尚未相应更新。&lt;br&gt;**与祖先过时** 意味着资源与其直接父级是最新的，但上游有一个资源更为更新。此选项允许您筛选两种类型的更新：数据和逻辑。&lt;br&gt;**数据过时** 意味着数据在祖先中更新，而资源尚未在构建中获取更新。&lt;br&gt; **逻辑过时** 意味着任务规格更改了。</w:t>
            </w:r>
          </w:p>
        </w:tc>
      </w:tr>
      <w:tr>
        <w:tc>
          <w:tcPr>
            <w:tcW w:type="dxa" w:w="4451"/>
          </w:tcPr>
          <w:p>
            <w:pPr>
              <w:spacing w:after="40" w:before="40"/>
            </w:pPr>
            <w:r>
              <w:rPr>
                <w:rFonts w:ascii="微软雅黑" w:hAnsi="微软雅黑"/>
                <w:sz w:val="20"/>
              </w:rPr>
              <w:t>**计划计数**</w:t>
            </w:r>
          </w:p>
        </w:tc>
        <w:tc>
          <w:tcPr>
            <w:tcW w:type="dxa" w:w="4451"/>
          </w:tcPr>
          <w:p>
            <w:pPr>
              <w:spacing w:after="40" w:before="40"/>
            </w:pPr>
            <w:r>
              <w:rPr>
                <w:rFonts w:ascii="微软雅黑" w:hAnsi="微软雅黑"/>
                <w:sz w:val="20"/>
              </w:rPr>
              <w:t>指示设置在数据集上的构建计划数量，并可选择筛选出暂停的计划。</w:t>
            </w:r>
          </w:p>
        </w:tc>
      </w:tr>
      <w:tr>
        <w:tc>
          <w:tcPr>
            <w:tcW w:type="dxa" w:w="4451"/>
          </w:tcPr>
          <w:p>
            <w:pPr>
              <w:spacing w:after="40" w:before="40"/>
            </w:pPr>
            <w:r>
              <w:rPr>
                <w:rFonts w:ascii="微软雅黑" w:hAnsi="微软雅黑"/>
                <w:sz w:val="20"/>
              </w:rPr>
              <w:t>**同步状态**</w:t>
            </w:r>
          </w:p>
        </w:tc>
        <w:tc>
          <w:tcPr>
            <w:tcW w:type="dxa" w:w="4451"/>
          </w:tcPr>
          <w:p>
            <w:pPr>
              <w:spacing w:after="40" w:before="40"/>
            </w:pPr>
            <w:r>
              <w:rPr>
                <w:rFonts w:ascii="微软雅黑" w:hAnsi="微软雅黑"/>
                <w:sz w:val="20"/>
              </w:rPr>
              <w:t>如果数据集上设置了同步，此选项将指示同步的状态</w:t>
            </w:r>
          </w:p>
        </w:tc>
      </w:tr>
      <w:tr>
        <w:tc>
          <w:tcPr>
            <w:tcW w:type="dxa" w:w="4451"/>
          </w:tcPr>
          <w:p>
            <w:pPr>
              <w:spacing w:after="40" w:before="40"/>
            </w:pPr>
            <w:r>
              <w:rPr>
                <w:rFonts w:ascii="微软雅黑" w:hAnsi="微软雅黑"/>
                <w:sz w:val="20"/>
              </w:rPr>
              <w:t>**上次构建时间**</w:t>
            </w:r>
          </w:p>
        </w:tc>
        <w:tc>
          <w:tcPr>
            <w:tcW w:type="dxa" w:w="4451"/>
          </w:tcPr>
          <w:p>
            <w:pPr>
              <w:spacing w:after="40" w:before="40"/>
            </w:pPr>
            <w:r>
              <w:rPr>
                <w:rFonts w:ascii="微软雅黑" w:hAnsi="微软雅黑"/>
                <w:sz w:val="20"/>
              </w:rPr>
              <w:t>指示自上次成功构建数据集以来的时间。</w:t>
            </w:r>
          </w:p>
        </w:tc>
      </w:tr>
      <w:tr>
        <w:tc>
          <w:tcPr>
            <w:tcW w:type="dxa" w:w="4451"/>
          </w:tcPr>
          <w:p>
            <w:pPr>
              <w:spacing w:after="40" w:before="40"/>
            </w:pPr>
            <w:r>
              <w:rPr>
                <w:rFonts w:ascii="微软雅黑" w:hAnsi="微软雅黑"/>
                <w:sz w:val="20"/>
              </w:rPr>
              <w:t>**构建持续时间**</w:t>
            </w:r>
          </w:p>
        </w:tc>
        <w:tc>
          <w:tcPr>
            <w:tcW w:type="dxa" w:w="4451"/>
          </w:tcPr>
          <w:p>
            <w:pPr>
              <w:spacing w:after="40" w:before="40"/>
            </w:pPr>
            <w:r>
              <w:rPr>
                <w:rFonts w:ascii="微软雅黑" w:hAnsi="微软雅黑"/>
                <w:sz w:val="20"/>
              </w:rPr>
              <w:t>根据每个资源最近一次成功构建，指示近似的构建持续时间</w:t>
            </w:r>
          </w:p>
        </w:tc>
      </w:tr>
      <w:tr>
        <w:tc>
          <w:tcPr>
            <w:tcW w:type="dxa" w:w="4451"/>
          </w:tcPr>
          <w:p>
            <w:pPr>
              <w:spacing w:after="40" w:before="40"/>
            </w:pPr>
            <w:r>
              <w:rPr>
                <w:rFonts w:ascii="微软雅黑" w:hAnsi="微软雅黑"/>
                <w:sz w:val="20"/>
              </w:rPr>
              <w:t>**文件**</w:t>
            </w:r>
          </w:p>
        </w:tc>
        <w:tc>
          <w:tcPr>
            <w:tcW w:type="dxa" w:w="4451"/>
          </w:tcPr>
          <w:p>
            <w:pPr>
              <w:spacing w:after="40" w:before="40"/>
            </w:pPr>
            <w:r>
              <w:rPr>
                <w:rFonts w:ascii="微软雅黑" w:hAnsi="微软雅黑"/>
                <w:sz w:val="20"/>
              </w:rPr>
              <w:t>根据文件相关指标为图中的节点着色：平均文件大小、文件数量和数据集大小</w:t>
            </w:r>
          </w:p>
        </w:tc>
      </w:tr>
      <w:tr>
        <w:tc>
          <w:tcPr>
            <w:tcW w:type="dxa" w:w="4451"/>
          </w:tcPr>
          <w:p>
            <w:pPr>
              <w:spacing w:after="40" w:before="40"/>
            </w:pPr>
            <w:r>
              <w:rPr>
                <w:rFonts w:ascii="微软雅黑" w:hAnsi="微软雅黑"/>
                <w:sz w:val="20"/>
              </w:rPr>
              <w:t>**行数**</w:t>
            </w:r>
          </w:p>
        </w:tc>
        <w:tc>
          <w:tcPr>
            <w:tcW w:type="dxa" w:w="4451"/>
          </w:tcPr>
          <w:p>
            <w:pPr>
              <w:spacing w:after="40" w:before="40"/>
            </w:pPr>
            <w:r>
              <w:rPr>
                <w:rFonts w:ascii="微软雅黑" w:hAnsi="微软雅黑"/>
                <w:sz w:val="20"/>
              </w:rPr>
              <w:t>按每个数据集的行数为节点着色。如果行数不存在，可以在数据集详细信息助手或Foundry中的数据集视图（数据集应用程序）中计算。</w:t>
            </w:r>
          </w:p>
        </w:tc>
      </w:tr>
      <w:tr>
        <w:tc>
          <w:tcPr>
            <w:tcW w:type="dxa" w:w="4451"/>
          </w:tcPr>
          <w:p>
            <w:pPr>
              <w:spacing w:after="40" w:before="40"/>
            </w:pPr>
            <w:r>
              <w:rPr>
                <w:rFonts w:ascii="微软雅黑" w:hAnsi="微软雅黑"/>
                <w:sz w:val="20"/>
              </w:rPr>
              <w:t>**Spark使用情况**</w:t>
            </w:r>
          </w:p>
        </w:tc>
        <w:tc>
          <w:tcPr>
            <w:tcW w:type="dxa" w:w="4451"/>
          </w:tcPr>
          <w:p>
            <w:pPr>
              <w:spacing w:after="40" w:before="40"/>
            </w:pPr>
            <w:r>
              <w:rPr>
                <w:rFonts w:ascii="微软雅黑" w:hAnsi="微软雅黑"/>
                <w:sz w:val="20"/>
              </w:rPr>
              <w:t>按给定时间段内的执行器运行/CPU时间为每个节点着色</w:t>
            </w:r>
          </w:p>
        </w:tc>
      </w:tr>
      <w:tr>
        <w:tc>
          <w:tcPr>
            <w:tcW w:type="dxa" w:w="4451"/>
          </w:tcPr>
          <w:p>
            <w:pPr>
              <w:spacing w:after="40" w:before="40"/>
            </w:pPr>
            <w:r>
              <w:rPr>
                <w:rFonts w:ascii="微软雅黑" w:hAnsi="微软雅黑"/>
                <w:sz w:val="20"/>
              </w:rPr>
              <w:t>**用户查看次数**</w:t>
            </w:r>
          </w:p>
        </w:tc>
        <w:tc>
          <w:tcPr>
            <w:tcW w:type="dxa" w:w="4451"/>
          </w:tcPr>
          <w:p>
            <w:pPr>
              <w:spacing w:after="40" w:before="40"/>
            </w:pPr>
            <w:r>
              <w:rPr>
                <w:rFonts w:ascii="微软雅黑" w:hAnsi="微软雅黑"/>
                <w:sz w:val="20"/>
              </w:rPr>
              <w:t>按用户查看次数为节点着色</w:t>
            </w:r>
          </w:p>
        </w:tc>
      </w:tr>
      <w:tr>
        <w:tc>
          <w:tcPr>
            <w:tcW w:type="dxa" w:w="4451"/>
          </w:tcPr>
          <w:p>
            <w:pPr>
              <w:spacing w:after="40" w:before="40"/>
            </w:pPr>
            <w:r>
              <w:rPr>
                <w:rFonts w:ascii="微软雅黑" w:hAnsi="微软雅黑"/>
                <w:sz w:val="20"/>
              </w:rPr>
              <w:t>**分支**</w:t>
            </w:r>
          </w:p>
        </w:tc>
        <w:tc>
          <w:tcPr>
            <w:tcW w:type="dxa" w:w="4451"/>
          </w:tcPr>
          <w:p>
            <w:pPr>
              <w:spacing w:after="40" w:before="40"/>
            </w:pPr>
            <w:r>
              <w:rPr>
                <w:rFonts w:ascii="微软雅黑" w:hAnsi="微软雅黑"/>
                <w:sz w:val="20"/>
              </w:rPr>
              <w:t>指示图中每个节点的当前查看分支。</w:t>
            </w:r>
          </w:p>
        </w:tc>
      </w:tr>
      <w:tr>
        <w:tc>
          <w:tcPr>
            <w:tcW w:type="dxa" w:w="4451"/>
          </w:tcPr>
          <w:p>
            <w:pPr>
              <w:spacing w:after="40" w:before="40"/>
            </w:pPr>
            <w:r>
              <w:rPr>
                <w:rFonts w:ascii="微软雅黑" w:hAnsi="微软雅黑"/>
                <w:sz w:val="20"/>
              </w:rPr>
              <w:t>**代码状态**</w:t>
            </w:r>
          </w:p>
        </w:tc>
        <w:tc>
          <w:tcPr>
            <w:tcW w:type="dxa" w:w="4451"/>
          </w:tcPr>
          <w:p>
            <w:pPr>
              <w:spacing w:after="40" w:before="40"/>
            </w:pPr>
            <w:r>
              <w:rPr>
                <w:rFonts w:ascii="微软雅黑" w:hAnsi="微软雅黑"/>
                <w:sz w:val="20"/>
              </w:rPr>
              <w:t>指示此节点/数据集的代码状态。&lt;br&gt;**CI运行中** 意味着CI检查目前正在此节点上运行。&lt;br&gt;**CI失败** 意味着CI检查在此节点上出错。&lt;br&gt;**过时** 意味着节点的代码已过时。&lt;br&gt;**不可用** 意味着节点/数据集不是stemma后端或用户缺少权限。</w:t>
            </w:r>
          </w:p>
        </w:tc>
      </w:tr>
      <w:tr>
        <w:tc>
          <w:tcPr>
            <w:tcW w:type="dxa" w:w="4451"/>
          </w:tcPr>
          <w:p>
            <w:pPr>
              <w:spacing w:after="40" w:before="40"/>
            </w:pPr>
            <w:r>
              <w:rPr>
                <w:rFonts w:ascii="微软雅黑" w:hAnsi="微软雅黑"/>
                <w:sz w:val="20"/>
              </w:rPr>
              <w:t>**存储**</w:t>
            </w:r>
          </w:p>
        </w:tc>
        <w:tc>
          <w:tcPr>
            <w:tcW w:type="dxa" w:w="4451"/>
          </w:tcPr>
          <w:p>
            <w:pPr>
              <w:spacing w:after="40" w:before="40"/>
            </w:pPr>
            <w:r>
              <w:rPr>
                <w:rFonts w:ascii="微软雅黑" w:hAnsi="微软雅黑"/>
                <w:sz w:val="20"/>
              </w:rPr>
              <w:t>指示数据存储位置。将为**Foundry**，除非您使用[虚拟表](/zh/foundry/data-integration/virtual-tables/)。</w:t>
            </w:r>
          </w:p>
        </w:tc>
      </w:tr>
      <w:tr>
        <w:tc>
          <w:tcPr>
            <w:tcW w:type="dxa" w:w="4451"/>
          </w:tcPr>
          <w:p>
            <w:pPr>
              <w:spacing w:after="40" w:before="40"/>
            </w:pPr>
            <w:r>
              <w:rPr>
                <w:rFonts w:ascii="微软雅黑" w:hAnsi="微软雅黑"/>
                <w:sz w:val="20"/>
              </w:rPr>
              <w:t>**计算\[实验性]**</w:t>
            </w:r>
          </w:p>
        </w:tc>
        <w:tc>
          <w:tcPr>
            <w:tcW w:type="dxa" w:w="4451"/>
          </w:tcPr>
          <w:p>
            <w:pPr>
              <w:spacing w:after="40" w:before="40"/>
            </w:pPr>
            <w:r>
              <w:rPr>
                <w:rFonts w:ascii="微软雅黑" w:hAnsi="微软雅黑"/>
                <w:sz w:val="20"/>
              </w:rPr>
              <w:t>指示变换是否使用外部计算运行。对于所有客户，直到进一步推出，将为**Foundry**。</w:t>
            </w:r>
          </w:p>
        </w:tc>
      </w:tr>
      <w:tr>
        <w:tc>
          <w:tcPr>
            <w:tcW w:type="dxa" w:w="4451"/>
          </w:tcPr>
          <w:p>
            <w:pPr>
              <w:spacing w:after="40" w:before="40"/>
            </w:pPr>
            <w:r>
              <w:rPr>
                <w:rFonts w:ascii="微软雅黑" w:hAnsi="微软雅黑"/>
                <w:sz w:val="20"/>
              </w:rPr>
              <w:t>**事务类型**</w:t>
            </w:r>
          </w:p>
        </w:tc>
        <w:tc>
          <w:tcPr>
            <w:tcW w:type="dxa" w:w="4451"/>
          </w:tcPr>
          <w:p>
            <w:pPr>
              <w:spacing w:after="40" w:before="40"/>
            </w:pPr>
            <w:r>
              <w:rPr>
                <w:rFonts w:ascii="微软雅黑" w:hAnsi="微软雅黑"/>
                <w:sz w:val="20"/>
              </w:rPr>
              <w:t>指示每个节点的事务类型：追加或快照</w:t>
            </w:r>
          </w:p>
        </w:tc>
      </w:tr>
    </w:tbl>
    <w:p/>
    <w:p>
      <w:r>
        <w:br w:type="page"/>
      </w:r>
    </w:p>
    <w:p>
      <w:pPr>
        <w:pStyle w:val="Heading1"/>
      </w:pPr>
      <w:r>
        <w:rPr>
          <w:rFonts w:ascii="微软雅黑" w:hAnsi="微软雅黑"/>
        </w:rPr>
        <w:t>保存和分享图表</w:t>
      </w:r>
    </w:p>
    <w:p>
      <w:pPr>
        <w:spacing w:line="360" w:lineRule="auto" w:after="120"/>
      </w:pPr>
      <w:r>
        <w:rPr>
          <w:rFonts w:ascii="微软雅黑" w:hAnsi="微软雅黑"/>
          <w:sz w:val="21"/>
        </w:rPr>
        <w:t># 保存和分享图表</w:t>
      </w:r>
    </w:p>
    <w:p>
      <w:pPr>
        <w:spacing w:line="360" w:lineRule="auto" w:after="120"/>
      </w:pPr>
      <w:r>
        <w:rPr>
          <w:rFonts w:ascii="微软雅黑" w:hAnsi="微软雅黑"/>
          <w:sz w:val="21"/>
        </w:rPr>
        <w:t>数据沿袭允许您轻松保存和分享您的图表给其他用户。您可以通过点击应用程序右上角的</w:t>
      </w:r>
      <w:r>
        <w:rPr>
          <w:rFonts w:ascii="微软雅黑" w:hAnsi="微软雅黑"/>
          <w:b/>
          <w:sz w:val="21"/>
        </w:rPr>
        <w:t>操作</w:t>
      </w:r>
      <w:r>
        <w:rPr>
          <w:rFonts w:ascii="微软雅黑" w:hAnsi="微软雅黑"/>
          <w:sz w:val="21"/>
        </w:rPr>
        <w:t>选项卡，并从下拉菜单中选择一种方法，找到多种保存和分享的方式。</w:t>
      </w:r>
    </w:p>
    <w:p>
      <w:pPr>
        <w:spacing w:after="40"/>
        <w:jc w:val="center"/>
      </w:pPr>
      <w:r>
        <w:rPr>
          <w:i/>
          <w:color w:val="646464"/>
          <w:sz w:val="18"/>
        </w:rPr>
        <w:t>图：在数据沿袭中保存和分享操作</w:t>
      </w:r>
    </w:p>
    <w:p>
      <w:pPr>
        <w:spacing w:before="120" w:after="240"/>
        <w:jc w:val="center"/>
      </w:pPr>
      <w:r>
        <w:drawing>
          <wp:inline xmlns:a="http://schemas.openxmlformats.org/drawingml/2006/main" xmlns:pic="http://schemas.openxmlformats.org/drawingml/2006/picture">
            <wp:extent cx="5029200" cy="3161817"/>
            <wp:docPr id="37" name="Picture 37"/>
            <wp:cNvGraphicFramePr>
              <a:graphicFrameLocks noChangeAspect="1"/>
            </wp:cNvGraphicFramePr>
            <a:graphic>
              <a:graphicData uri="http://schemas.openxmlformats.org/drawingml/2006/picture">
                <pic:pic>
                  <pic:nvPicPr>
                    <pic:cNvPr id="0" name="data-lineage-save-and-share.png"/>
                    <pic:cNvPicPr/>
                  </pic:nvPicPr>
                  <pic:blipFill>
                    <a:blip r:embed="rId45"/>
                    <a:stretch>
                      <a:fillRect/>
                    </a:stretch>
                  </pic:blipFill>
                  <pic:spPr>
                    <a:xfrm>
                      <a:off x="0" y="0"/>
                      <a:ext cx="5029200" cy="3161817"/>
                    </a:xfrm>
                    <a:prstGeom prst="rect"/>
                  </pic:spPr>
                </pic:pic>
              </a:graphicData>
            </a:graphic>
          </wp:inline>
        </w:drawing>
      </w:r>
    </w:p>
    <w:p>
      <w:pPr>
        <w:pStyle w:val="ListBullet"/>
        <w:spacing w:line="360" w:lineRule="auto" w:after="120"/>
      </w:pPr>
      <w:r>
        <w:rPr>
          <w:rFonts w:ascii="微软雅黑" w:hAnsi="微软雅黑"/>
          <w:sz w:val="21"/>
        </w:rPr>
        <w:t>\*\*保存：\*\*将您的数据沿袭图表保存到当前文件或项目所在的位置。</w:t>
      </w:r>
    </w:p>
    <w:p>
      <w:pPr>
        <w:pStyle w:val="ListBullet"/>
        <w:spacing w:line="360" w:lineRule="auto" w:after="120"/>
      </w:pPr>
      <w:r>
        <w:rPr>
          <w:rFonts w:ascii="微软雅黑" w:hAnsi="微软雅黑"/>
          <w:sz w:val="21"/>
        </w:rPr>
        <w:t>\*\*另存为...：\*\*为您的沿袭图表选择一个名称，并将其保存到文件系统的新位置。</w:t>
      </w:r>
    </w:p>
    <w:p>
      <w:pPr>
        <w:spacing w:after="40"/>
        <w:jc w:val="center"/>
      </w:pPr>
      <w:r>
        <w:rPr>
          <w:i/>
          <w:color w:val="646464"/>
          <w:sz w:val="18"/>
        </w:rPr>
        <w:t>图：另存为沿袭图表窗口</w:t>
      </w:r>
    </w:p>
    <w:p>
      <w:pPr>
        <w:spacing w:before="120" w:after="240"/>
        <w:jc w:val="center"/>
      </w:pPr>
      <w:r>
        <w:drawing>
          <wp:inline xmlns:a="http://schemas.openxmlformats.org/drawingml/2006/main" xmlns:pic="http://schemas.openxmlformats.org/drawingml/2006/picture">
            <wp:extent cx="5029200" cy="3056964"/>
            <wp:docPr id="38" name="Picture 38"/>
            <wp:cNvGraphicFramePr>
              <a:graphicFrameLocks noChangeAspect="1"/>
            </wp:cNvGraphicFramePr>
            <a:graphic>
              <a:graphicData uri="http://schemas.openxmlformats.org/drawingml/2006/picture">
                <pic:pic>
                  <pic:nvPicPr>
                    <pic:cNvPr id="0" name="save-data-lineage-window.png"/>
                    <pic:cNvPicPr/>
                  </pic:nvPicPr>
                  <pic:blipFill>
                    <a:blip r:embed="rId46"/>
                    <a:stretch>
                      <a:fillRect/>
                    </a:stretch>
                  </pic:blipFill>
                  <pic:spPr>
                    <a:xfrm>
                      <a:off x="0" y="0"/>
                      <a:ext cx="5029200" cy="3056964"/>
                    </a:xfrm>
                    <a:prstGeom prst="rect"/>
                  </pic:spPr>
                </pic:pic>
              </a:graphicData>
            </a:graphic>
          </wp:inline>
        </w:drawing>
      </w:r>
    </w:p>
    <w:p>
      <w:pPr>
        <w:pStyle w:val="ListBullet"/>
        <w:spacing w:line="360" w:lineRule="auto" w:after="120"/>
      </w:pPr>
      <w:r>
        <w:rPr>
          <w:rFonts w:ascii="微软雅黑" w:hAnsi="微软雅黑"/>
          <w:b/>
          <w:sz w:val="21"/>
        </w:rPr>
        <w:t>打开图表：</w:t>
      </w:r>
      <w:r>
        <w:rPr>
          <w:rFonts w:ascii="微软雅黑" w:hAnsi="微软雅黑"/>
          <w:sz w:val="21"/>
        </w:rPr>
        <w:t>选择打开您有权限访问的不同已保存图表，或打开</w:t>
      </w:r>
      <w:r>
        <w:rPr>
          <w:rFonts w:ascii="微软雅黑" w:hAnsi="微软雅黑"/>
          <w:b/>
          <w:sz w:val="21"/>
        </w:rPr>
        <w:t>剪贴板</w:t>
      </w:r>
      <w:r>
        <w:rPr>
          <w:rFonts w:ascii="微软雅黑" w:hAnsi="微软雅黑"/>
          <w:sz w:val="21"/>
        </w:rPr>
        <w:t>选项卡以输入数据集、计划、图表或路径的资源标识符（RID）。</w:t>
      </w:r>
    </w:p>
    <w:p>
      <w:pPr>
        <w:spacing w:after="40"/>
        <w:jc w:val="center"/>
      </w:pPr>
      <w:r>
        <w:rPr>
          <w:i/>
          <w:color w:val="646464"/>
          <w:sz w:val="18"/>
        </w:rPr>
        <w:t>图：打开新图表剪贴板选项</w:t>
      </w:r>
    </w:p>
    <w:p>
      <w:pPr>
        <w:spacing w:before="120" w:after="240"/>
        <w:jc w:val="center"/>
      </w:pPr>
      <w:r>
        <w:drawing>
          <wp:inline xmlns:a="http://schemas.openxmlformats.org/drawingml/2006/main" xmlns:pic="http://schemas.openxmlformats.org/drawingml/2006/picture">
            <wp:extent cx="5029200" cy="2431701"/>
            <wp:docPr id="39" name="Picture 39"/>
            <wp:cNvGraphicFramePr>
              <a:graphicFrameLocks noChangeAspect="1"/>
            </wp:cNvGraphicFramePr>
            <a:graphic>
              <a:graphicData uri="http://schemas.openxmlformats.org/drawingml/2006/picture">
                <pic:pic>
                  <pic:nvPicPr>
                    <pic:cNvPr id="0" name="open-graph-clipboard.png"/>
                    <pic:cNvPicPr/>
                  </pic:nvPicPr>
                  <pic:blipFill>
                    <a:blip r:embed="rId47"/>
                    <a:stretch>
                      <a:fillRect/>
                    </a:stretch>
                  </pic:blipFill>
                  <pic:spPr>
                    <a:xfrm>
                      <a:off x="0" y="0"/>
                      <a:ext cx="5029200" cy="2431701"/>
                    </a:xfrm>
                    <a:prstGeom prst="rect"/>
                  </pic:spPr>
                </pic:pic>
              </a:graphicData>
            </a:graphic>
          </wp:inline>
        </w:drawing>
      </w:r>
    </w:p>
    <w:p>
      <w:pPr>
        <w:spacing w:line="360" w:lineRule="auto" w:after="120"/>
      </w:pPr>
      <w:r>
        <w:rPr>
          <w:rFonts w:ascii="微软雅黑" w:hAnsi="微软雅黑"/>
          <w:sz w:val="21"/>
        </w:rPr>
        <w:t>:::callout</w:t>
      </w:r>
    </w:p>
    <w:p>
      <w:pPr>
        <w:spacing w:line="360" w:lineRule="auto" w:after="120"/>
      </w:pPr>
      <w:r>
        <w:rPr>
          <w:rFonts w:ascii="微软雅黑" w:hAnsi="微软雅黑"/>
          <w:sz w:val="21"/>
        </w:rPr>
        <w:t>您的分支选择会与您保存的图表一起保存。如果您加载的图表与您当前的分支配置不同，系统将询问您是否要切换到保存的分支配置。</w:t>
      </w:r>
    </w:p>
    <w:p>
      <w:pPr>
        <w:spacing w:after="40"/>
        <w:jc w:val="center"/>
      </w:pPr>
      <w:r>
        <w:rPr>
          <w:i/>
          <w:color w:val="646464"/>
          <w:sz w:val="18"/>
        </w:rPr>
        <w:t>图：切换分支以打开新图表的警告</w:t>
      </w:r>
    </w:p>
    <w:p>
      <w:pPr>
        <w:spacing w:before="120" w:after="240"/>
        <w:jc w:val="center"/>
      </w:pPr>
      <w:r>
        <w:drawing>
          <wp:inline xmlns:a="http://schemas.openxmlformats.org/drawingml/2006/main" xmlns:pic="http://schemas.openxmlformats.org/drawingml/2006/picture">
            <wp:extent cx="5029200" cy="1911289"/>
            <wp:docPr id="40" name="Picture 40"/>
            <wp:cNvGraphicFramePr>
              <a:graphicFrameLocks noChangeAspect="1"/>
            </wp:cNvGraphicFramePr>
            <a:graphic>
              <a:graphicData uri="http://schemas.openxmlformats.org/drawingml/2006/picture">
                <pic:pic>
                  <pic:nvPicPr>
                    <pic:cNvPr id="0" name="switch-branches-alert-open-graph.png"/>
                    <pic:cNvPicPr/>
                  </pic:nvPicPr>
                  <pic:blipFill>
                    <a:blip r:embed="rId48"/>
                    <a:stretch>
                      <a:fillRect/>
                    </a:stretch>
                  </pic:blipFill>
                  <pic:spPr>
                    <a:xfrm>
                      <a:off x="0" y="0"/>
                      <a:ext cx="5029200" cy="1911289"/>
                    </a:xfrm>
                    <a:prstGeom prst="rect"/>
                  </pic:spPr>
                </pic:pic>
              </a:graphicData>
            </a:graphic>
          </wp:inline>
        </w:drawing>
      </w:r>
    </w:p>
    <w:p>
      <w:pPr>
        <w:pStyle w:val="ListBullet"/>
        <w:spacing w:line="360" w:lineRule="auto" w:after="120"/>
      </w:pPr>
      <w:r>
        <w:rPr>
          <w:rFonts w:ascii="微软雅黑" w:hAnsi="微软雅黑"/>
          <w:sz w:val="21"/>
        </w:rPr>
        <w:t>\*\*获取快速分享链接：\*\*生成一个可分享的链接，提供对您的图表的只读访问。</w:t>
      </w:r>
    </w:p>
    <w:p>
      <w:pPr>
        <w:pStyle w:val="ListBullet"/>
        <w:spacing w:line="360" w:lineRule="auto" w:after="120"/>
      </w:pPr>
      <w:r>
        <w:rPr>
          <w:rFonts w:ascii="微软雅黑" w:hAnsi="微软雅黑"/>
          <w:sz w:val="21"/>
        </w:rPr>
        <w:t>\*\*以SVG格式导出图表：\*\*生成并下载您的沿袭图表的静态图像，以.svg格式保存。</w:t>
      </w:r>
    </w:p>
    <w:p>
      <w:pPr>
        <w:spacing w:line="360" w:lineRule="auto" w:after="120"/>
      </w:pPr>
      <w:r>
        <w:rPr>
          <w:rFonts w:ascii="微软雅黑" w:hAnsi="微软雅黑"/>
          <w:sz w:val="21"/>
        </w:rPr>
        <w:t>您还可以点击应用程序右上角的</w:t>
      </w:r>
      <w:r>
        <w:rPr>
          <w:rFonts w:ascii="微软雅黑" w:hAnsi="微软雅黑"/>
          <w:b/>
          <w:sz w:val="21"/>
        </w:rPr>
        <w:t>分享</w:t>
      </w:r>
      <w:r>
        <w:rPr>
          <w:rFonts w:ascii="微软雅黑" w:hAnsi="微软雅黑"/>
          <w:sz w:val="21"/>
        </w:rPr>
        <w:t>按钮以打开侧边栏并查看</w:t>
      </w:r>
      <w:r>
        <w:rPr>
          <w:rFonts w:ascii="微软雅黑" w:hAnsi="微软雅黑"/>
          <w:b/>
          <w:sz w:val="21"/>
        </w:rPr>
        <w:t>角色</w:t>
      </w:r>
      <w:r>
        <w:rPr>
          <w:rFonts w:ascii="微软雅黑" w:hAnsi="微软雅黑"/>
          <w:sz w:val="21"/>
        </w:rPr>
        <w:t>详细信息。在这里，您可以打开链接分享或给予某个用户或群组访问您图表的权限。</w:t>
      </w:r>
    </w:p>
    <w:p>
      <w:pPr>
        <w:spacing w:after="40"/>
        <w:jc w:val="center"/>
      </w:pPr>
      <w:r>
        <w:rPr>
          <w:i/>
          <w:color w:val="646464"/>
          <w:sz w:val="18"/>
        </w:rPr>
        <w:t>图：在数据沿袭侧边栏查看角色详细信息</w:t>
      </w:r>
    </w:p>
    <w:p>
      <w:pPr>
        <w:spacing w:before="120" w:after="240"/>
        <w:jc w:val="center"/>
      </w:pPr>
      <w:r>
        <w:drawing>
          <wp:inline xmlns:a="http://schemas.openxmlformats.org/drawingml/2006/main" xmlns:pic="http://schemas.openxmlformats.org/drawingml/2006/picture">
            <wp:extent cx="3320547" cy="4114800"/>
            <wp:docPr id="41" name="Picture 41"/>
            <wp:cNvGraphicFramePr>
              <a:graphicFrameLocks noChangeAspect="1"/>
            </wp:cNvGraphicFramePr>
            <a:graphic>
              <a:graphicData uri="http://schemas.openxmlformats.org/drawingml/2006/picture">
                <pic:pic>
                  <pic:nvPicPr>
                    <pic:cNvPr id="0" name="roles-details-data-lineage.png"/>
                    <pic:cNvPicPr/>
                  </pic:nvPicPr>
                  <pic:blipFill>
                    <a:blip r:embed="rId49"/>
                    <a:stretch>
                      <a:fillRect/>
                    </a:stretch>
                  </pic:blipFill>
                  <pic:spPr>
                    <a:xfrm>
                      <a:off x="0" y="0"/>
                      <a:ext cx="3320547" cy="4114800"/>
                    </a:xfrm>
                    <a:prstGeom prst="rect"/>
                  </pic:spPr>
                </pic:pic>
              </a:graphicData>
            </a:graphic>
          </wp:inline>
        </w:drawing>
      </w:r>
    </w:p>
    <w:p>
      <w:r>
        <w:br w:type="page"/>
      </w:r>
    </w:p>
    <w:p>
      <w:pPr>
        <w:pStyle w:val="Heading1"/>
      </w:pPr>
      <w:r>
        <w:rPr>
          <w:rFonts w:ascii="微软雅黑" w:hAnsi="微软雅黑"/>
        </w:rPr>
        <w:t>查看权限标记更改的影响</w:t>
      </w:r>
    </w:p>
    <w:p>
      <w:pPr>
        <w:spacing w:line="360" w:lineRule="auto" w:after="120"/>
      </w:pPr>
      <w:r>
        <w:rPr>
          <w:rFonts w:ascii="微软雅黑" w:hAnsi="微软雅黑"/>
          <w:sz w:val="21"/>
        </w:rPr>
        <w:t># 查看权限标记更改的影响</w:t>
      </w:r>
    </w:p>
    <w:p>
      <w:pPr>
        <w:spacing w:line="360" w:lineRule="auto" w:after="120"/>
      </w:pPr>
      <w:r>
        <w:rPr>
          <w:rFonts w:ascii="微软雅黑" w:hAnsi="微软雅黑"/>
          <w:sz w:val="21"/>
        </w:rPr>
        <w:t>您可以使用数据沿袭来评估对数据集权限标记的更改如何影响派生数据集。这在</w:t>
      </w:r>
      <w:r>
        <w:rPr>
          <w:rFonts w:ascii="微软雅黑" w:hAnsi="微软雅黑"/>
          <w:color w:val="0066CC"/>
          <w:sz w:val="21"/>
          <w:u w:val="single"/>
        </w:rPr>
        <w:t>移除权限标记</w:t>
      </w:r>
      <w:r>
        <w:rPr>
          <w:rFonts w:ascii="微软雅黑" w:hAnsi="微软雅黑"/>
          <w:sz w:val="21"/>
        </w:rPr>
        <w:t>时非常有用。</w:t>
      </w:r>
    </w:p>
    <w:p>
      <w:pPr>
        <w:spacing w:line="360" w:lineRule="auto" w:after="120"/>
      </w:pPr>
      <w:r>
        <w:rPr>
          <w:rFonts w:ascii="微软雅黑" w:hAnsi="微软雅黑"/>
          <w:sz w:val="21"/>
        </w:rPr>
        <w:t>权限标记模拟依赖于最近的数据集搭建，并且不考虑尚未最终确定的更改。请确认您正在使用的是最新版本的数据。</w:t>
      </w:r>
    </w:p>
    <w:p>
      <w:pPr>
        <w:pStyle w:val="Heading2"/>
      </w:pPr>
      <w:r>
        <w:rPr>
          <w:rFonts w:ascii="微软雅黑" w:hAnsi="微软雅黑"/>
        </w:rPr>
        <w:t>访问模拟模式</w:t>
      </w:r>
    </w:p>
    <w:p>
      <w:pPr>
        <w:pStyle w:val="ListNumber"/>
        <w:spacing w:line="360" w:lineRule="auto" w:after="120"/>
      </w:pPr>
      <w:r>
        <w:rPr>
          <w:rFonts w:ascii="微软雅黑" w:hAnsi="微软雅黑"/>
          <w:sz w:val="21"/>
        </w:rPr>
        <w:t>打开</w:t>
      </w:r>
      <w:r>
        <w:rPr>
          <w:rFonts w:ascii="微软雅黑" w:hAnsi="微软雅黑"/>
          <w:b/>
          <w:sz w:val="21"/>
        </w:rPr>
        <w:t>访问信息</w:t>
      </w:r>
      <w:r>
        <w:rPr>
          <w:rFonts w:ascii="微软雅黑" w:hAnsi="微软雅黑"/>
          <w:sz w:val="21"/>
        </w:rPr>
        <w:t>侧边栏。</w:t>
      </w:r>
    </w:p>
    <w:p>
      <w:pPr>
        <w:pStyle w:val="ListNumber"/>
        <w:spacing w:line="360" w:lineRule="auto" w:after="120"/>
      </w:pPr>
      <w:r>
        <w:rPr>
          <w:rFonts w:ascii="微软雅黑" w:hAnsi="微软雅黑"/>
          <w:sz w:val="21"/>
        </w:rPr>
        <w:t>开启</w:t>
      </w:r>
      <w:r>
        <w:rPr>
          <w:rFonts w:ascii="微软雅黑" w:hAnsi="微软雅黑"/>
          <w:b/>
          <w:sz w:val="21"/>
        </w:rPr>
        <w:t>模拟访问要求</w:t>
      </w:r>
      <w:r>
        <w:rPr>
          <w:rFonts w:ascii="微软雅黑" w:hAnsi="微软雅黑"/>
          <w:sz w:val="21"/>
        </w:rPr>
        <w:t>。</w:t>
      </w:r>
    </w:p>
    <w:p>
      <w:pPr>
        <w:pStyle w:val="ListNumber"/>
        <w:spacing w:line="360" w:lineRule="auto" w:after="120"/>
      </w:pPr>
      <w:r>
        <w:rPr>
          <w:rFonts w:ascii="微软雅黑" w:hAnsi="微软雅黑"/>
          <w:sz w:val="21"/>
        </w:rPr>
        <w:t>在图表上选择任何数据集。</w:t>
      </w:r>
    </w:p>
    <w:p>
      <w:pPr>
        <w:pStyle w:val="ListNumber"/>
        <w:spacing w:line="360" w:lineRule="auto" w:after="120"/>
      </w:pPr>
      <w:r>
        <w:rPr>
          <w:rFonts w:ascii="微软雅黑" w:hAnsi="微软雅黑"/>
          <w:sz w:val="21"/>
        </w:rPr>
        <w:t>点击</w:t>
      </w:r>
      <w:r>
        <w:rPr>
          <w:rFonts w:ascii="微软雅黑" w:hAnsi="微软雅黑"/>
          <w:b/>
          <w:sz w:val="21"/>
        </w:rPr>
        <w:t>编辑权限标记</w:t>
      </w:r>
      <w:r>
        <w:rPr>
          <w:rFonts w:ascii="微软雅黑" w:hAnsi="微软雅黑"/>
          <w:sz w:val="21"/>
        </w:rPr>
        <w:t>。</w:t>
      </w:r>
    </w:p>
    <w:p>
      <w:pPr>
        <w:spacing w:after="40"/>
        <w:jc w:val="center"/>
      </w:pPr>
      <w:r>
        <w:rPr>
          <w:i/>
          <w:color w:val="646464"/>
          <w:sz w:val="18"/>
        </w:rPr>
        <w:t>图：访问信息侧边栏</w:t>
      </w:r>
    </w:p>
    <w:p>
      <w:pPr>
        <w:spacing w:before="120" w:after="240"/>
        <w:jc w:val="center"/>
      </w:pPr>
      <w:r>
        <w:drawing>
          <wp:inline xmlns:a="http://schemas.openxmlformats.org/drawingml/2006/main" xmlns:pic="http://schemas.openxmlformats.org/drawingml/2006/picture">
            <wp:extent cx="5029200" cy="1993971"/>
            <wp:docPr id="42" name="Picture 42"/>
            <wp:cNvGraphicFramePr>
              <a:graphicFrameLocks noChangeAspect="1"/>
            </wp:cNvGraphicFramePr>
            <a:graphic>
              <a:graphicData uri="http://schemas.openxmlformats.org/drawingml/2006/picture">
                <pic:pic>
                  <pic:nvPicPr>
                    <pic:cNvPr id="0" name="marking-simulation-helper-sidebar.png"/>
                    <pic:cNvPicPr/>
                  </pic:nvPicPr>
                  <pic:blipFill>
                    <a:blip r:embed="rId50"/>
                    <a:stretch>
                      <a:fillRect/>
                    </a:stretch>
                  </pic:blipFill>
                  <pic:spPr>
                    <a:xfrm>
                      <a:off x="0" y="0"/>
                      <a:ext cx="5029200" cy="1993971"/>
                    </a:xfrm>
                    <a:prstGeom prst="rect"/>
                  </pic:spPr>
                </pic:pic>
              </a:graphicData>
            </a:graphic>
          </wp:inline>
        </w:drawing>
      </w:r>
    </w:p>
    <w:p>
      <w:pPr>
        <w:pStyle w:val="Heading2"/>
      </w:pPr>
      <w:r>
        <w:rPr>
          <w:rFonts w:ascii="微软雅黑" w:hAnsi="微软雅黑"/>
        </w:rPr>
        <w:t>模拟权限标记更改</w:t>
      </w:r>
    </w:p>
    <w:p>
      <w:pPr>
        <w:spacing w:after="40"/>
        <w:jc w:val="center"/>
      </w:pPr>
      <w:r>
        <w:rPr>
          <w:i/>
          <w:color w:val="646464"/>
          <w:sz w:val="18"/>
        </w:rPr>
        <w:t>图：模拟权限标记更改</w:t>
      </w:r>
    </w:p>
    <w:p>
      <w:pPr>
        <w:spacing w:before="120" w:after="240"/>
        <w:jc w:val="center"/>
      </w:pPr>
      <w:r>
        <w:drawing>
          <wp:inline xmlns:a="http://schemas.openxmlformats.org/drawingml/2006/main" xmlns:pic="http://schemas.openxmlformats.org/drawingml/2006/picture">
            <wp:extent cx="5029200" cy="2333693"/>
            <wp:docPr id="43" name="Picture 43"/>
            <wp:cNvGraphicFramePr>
              <a:graphicFrameLocks noChangeAspect="1"/>
            </wp:cNvGraphicFramePr>
            <a:graphic>
              <a:graphicData uri="http://schemas.openxmlformats.org/drawingml/2006/picture">
                <pic:pic>
                  <pic:nvPicPr>
                    <pic:cNvPr id="0" name="marking-simulation-apply.png"/>
                    <pic:cNvPicPr/>
                  </pic:nvPicPr>
                  <pic:blipFill>
                    <a:blip r:embed="rId51"/>
                    <a:stretch>
                      <a:fillRect/>
                    </a:stretch>
                  </pic:blipFill>
                  <pic:spPr>
                    <a:xfrm>
                      <a:off x="0" y="0"/>
                      <a:ext cx="5029200" cy="2333693"/>
                    </a:xfrm>
                    <a:prstGeom prst="rect"/>
                  </pic:spPr>
                </pic:pic>
              </a:graphicData>
            </a:graphic>
          </wp:inline>
        </w:drawing>
      </w:r>
    </w:p>
    <w:p>
      <w:pPr>
        <w:spacing w:line="360" w:lineRule="auto" w:after="120"/>
      </w:pPr>
      <w:r>
        <w:rPr>
          <w:rFonts w:ascii="微软雅黑" w:hAnsi="微软雅黑"/>
          <w:sz w:val="21"/>
        </w:rPr>
        <w:t>要模拟权限标记的应用，请搜索您要应用的权限标记，勾选权限标记旁边的框，然后选择</w:t>
      </w:r>
      <w:r>
        <w:rPr>
          <w:rFonts w:ascii="微软雅黑" w:hAnsi="微软雅黑"/>
          <w:b/>
          <w:sz w:val="21"/>
        </w:rPr>
        <w:t>模拟更改</w:t>
      </w:r>
      <w:r>
        <w:rPr>
          <w:rFonts w:ascii="微软雅黑" w:hAnsi="微软雅黑"/>
          <w:sz w:val="21"/>
        </w:rPr>
        <w:t>按钮。</w:t>
      </w:r>
    </w:p>
    <w:p>
      <w:pPr>
        <w:spacing w:line="360" w:lineRule="auto" w:after="120"/>
      </w:pPr>
      <w:r>
        <w:rPr>
          <w:rFonts w:ascii="微软雅黑" w:hAnsi="微软雅黑"/>
          <w:sz w:val="21"/>
        </w:rPr>
        <w:t>已经应用于数据集的权限标记将显示为已选中。要模拟移除权限标记，请取消选中权限标记旁边的框并点击</w:t>
      </w:r>
      <w:r>
        <w:rPr>
          <w:rFonts w:ascii="微软雅黑" w:hAnsi="微软雅黑"/>
          <w:b/>
          <w:sz w:val="21"/>
        </w:rPr>
        <w:t>模拟更改</w:t>
      </w:r>
      <w:r>
        <w:rPr>
          <w:rFonts w:ascii="微软雅黑" w:hAnsi="微软雅黑"/>
          <w:sz w:val="21"/>
        </w:rPr>
        <w:t>。</w:t>
      </w:r>
    </w:p>
    <w:p>
      <w:pPr>
        <w:spacing w:line="360" w:lineRule="auto" w:after="120"/>
      </w:pPr>
      <w:r>
        <w:rPr>
          <w:rFonts w:ascii="微软雅黑" w:hAnsi="微软雅黑"/>
          <w:sz w:val="21"/>
        </w:rPr>
        <w:t>您只能移除直接应用于数据集的权限标记。无法模拟通过数据集沿袭或从父项目继承的权限标记的移除。</w:t>
      </w:r>
    </w:p>
    <w:p>
      <w:pPr>
        <w:pStyle w:val="Heading2"/>
      </w:pPr>
      <w:r>
        <w:rPr>
          <w:rFonts w:ascii="微软雅黑" w:hAnsi="微软雅黑"/>
        </w:rPr>
        <w:t>分析模拟图表</w:t>
      </w:r>
    </w:p>
    <w:p>
      <w:pPr>
        <w:spacing w:after="40"/>
        <w:jc w:val="center"/>
      </w:pPr>
      <w:r>
        <w:rPr>
          <w:i/>
          <w:color w:val="646464"/>
          <w:sz w:val="18"/>
        </w:rPr>
        <w:t>图：分析模拟图表</w:t>
      </w:r>
    </w:p>
    <w:p>
      <w:pPr>
        <w:spacing w:before="120" w:after="240"/>
        <w:jc w:val="center"/>
      </w:pPr>
      <w:r>
        <w:drawing>
          <wp:inline xmlns:a="http://schemas.openxmlformats.org/drawingml/2006/main" xmlns:pic="http://schemas.openxmlformats.org/drawingml/2006/picture">
            <wp:extent cx="5029200" cy="1560285"/>
            <wp:docPr id="44" name="Picture 44"/>
            <wp:cNvGraphicFramePr>
              <a:graphicFrameLocks noChangeAspect="1"/>
            </wp:cNvGraphicFramePr>
            <a:graphic>
              <a:graphicData uri="http://schemas.openxmlformats.org/drawingml/2006/picture">
                <pic:pic>
                  <pic:nvPicPr>
                    <pic:cNvPr id="0" name="marking-simulation-analyze.png"/>
                    <pic:cNvPicPr/>
                  </pic:nvPicPr>
                  <pic:blipFill>
                    <a:blip r:embed="rId52"/>
                    <a:stretch>
                      <a:fillRect/>
                    </a:stretch>
                  </pic:blipFill>
                  <pic:spPr>
                    <a:xfrm>
                      <a:off x="0" y="0"/>
                      <a:ext cx="5029200" cy="1560285"/>
                    </a:xfrm>
                    <a:prstGeom prst="rect"/>
                  </pic:spPr>
                </pic:pic>
              </a:graphicData>
            </a:graphic>
          </wp:inline>
        </w:drawing>
      </w:r>
    </w:p>
    <w:p>
      <w:pPr>
        <w:spacing w:line="360" w:lineRule="auto" w:after="120"/>
      </w:pPr>
      <w:r>
        <w:rPr>
          <w:rFonts w:ascii="微软雅黑" w:hAnsi="微软雅黑"/>
          <w:sz w:val="21"/>
        </w:rPr>
        <w:t>在模拟模式下，图表的颜色将指示受权限标记更改影响的数据集。界面中标注了图表颜色，可以表示以下数据集状态：</w:t>
      </w:r>
    </w:p>
    <w:p>
      <w:pPr>
        <w:pStyle w:val="ListBullet"/>
        <w:spacing w:line="360" w:lineRule="auto" w:after="120"/>
      </w:pPr>
      <w:r>
        <w:rPr>
          <w:rFonts w:ascii="微软雅黑" w:hAnsi="微软雅黑"/>
          <w:b/>
          <w:sz w:val="21"/>
        </w:rPr>
        <w:t>模拟更改应用</w:t>
      </w:r>
      <w:r>
        <w:rPr>
          <w:rFonts w:ascii="微软雅黑" w:hAnsi="微软雅黑"/>
          <w:sz w:val="21"/>
        </w:rPr>
        <w:t>显示在您应用更改的数据集上。</w:t>
      </w:r>
    </w:p>
    <w:p>
      <w:pPr>
        <w:pStyle w:val="ListBullet"/>
        <w:spacing w:line="360" w:lineRule="auto" w:after="120"/>
      </w:pPr>
      <w:r>
        <w:rPr>
          <w:rFonts w:ascii="微软雅黑" w:hAnsi="微软雅黑"/>
          <w:b/>
          <w:sz w:val="21"/>
        </w:rPr>
        <w:t>访问受影响</w:t>
      </w:r>
      <w:r>
        <w:rPr>
          <w:rFonts w:ascii="微软雅黑" w:hAnsi="微软雅黑"/>
          <w:sz w:val="21"/>
        </w:rPr>
        <w:t>显示在更改前后权限标记不同的数据集上。</w:t>
      </w:r>
    </w:p>
    <w:p>
      <w:pPr>
        <w:pStyle w:val="ListBullet"/>
        <w:spacing w:line="360" w:lineRule="auto" w:after="120"/>
      </w:pPr>
      <w:r>
        <w:rPr>
          <w:rFonts w:ascii="微软雅黑" w:hAnsi="微软雅黑"/>
          <w:b/>
          <w:sz w:val="21"/>
        </w:rPr>
        <w:t>访问不受影响</w:t>
      </w:r>
      <w:r>
        <w:rPr>
          <w:rFonts w:ascii="微软雅黑" w:hAnsi="微软雅黑"/>
          <w:sz w:val="21"/>
        </w:rPr>
        <w:t>显示在更改前后权限标记相同的数据集上。</w:t>
      </w:r>
    </w:p>
    <w:p>
      <w:pPr>
        <w:pStyle w:val="ListBullet"/>
        <w:spacing w:line="360" w:lineRule="auto" w:after="120"/>
      </w:pPr>
      <w:r>
        <w:rPr>
          <w:rFonts w:ascii="微软雅黑" w:hAnsi="微软雅黑"/>
          <w:b/>
          <w:sz w:val="21"/>
        </w:rPr>
        <w:t>没有可见的事务</w:t>
      </w:r>
      <w:r>
        <w:rPr>
          <w:rFonts w:ascii="微软雅黑" w:hAnsi="微软雅黑"/>
          <w:sz w:val="21"/>
        </w:rPr>
        <w:t>显示在尚未搭建的数据集或您无权限查看事务的数据集上。</w:t>
      </w:r>
    </w:p>
    <w:p>
      <w:pPr>
        <w:spacing w:line="360" w:lineRule="auto" w:after="120"/>
      </w:pPr>
      <w:r>
        <w:rPr>
          <w:rFonts w:ascii="微软雅黑" w:hAnsi="微软雅黑"/>
          <w:sz w:val="21"/>
        </w:rPr>
        <w:t>选择任何数据集时，</w:t>
      </w:r>
      <w:r>
        <w:rPr>
          <w:rFonts w:ascii="微软雅黑" w:hAnsi="微软雅黑"/>
          <w:b/>
          <w:sz w:val="21"/>
        </w:rPr>
        <w:t>访问信息</w:t>
      </w:r>
      <w:r>
        <w:rPr>
          <w:rFonts w:ascii="微软雅黑" w:hAnsi="微软雅黑"/>
          <w:sz w:val="21"/>
        </w:rPr>
        <w:t>侧边栏将显示模拟的访问要求。您可以切换模拟模式的开关来查看差异，而不会丢失任何模拟更改。</w:t>
      </w:r>
    </w:p>
    <w:p>
      <w:pPr>
        <w:pStyle w:val="Heading2"/>
      </w:pPr>
      <w:r>
        <w:rPr>
          <w:rFonts w:ascii="微软雅黑" w:hAnsi="微软雅黑"/>
        </w:rPr>
        <w:t>理解更改的提示</w:t>
      </w:r>
    </w:p>
    <w:p>
      <w:pPr>
        <w:spacing w:line="360" w:lineRule="auto" w:after="120"/>
      </w:pPr>
      <w:r>
        <w:rPr>
          <w:rFonts w:ascii="微软雅黑" w:hAnsi="微软雅黑"/>
          <w:sz w:val="21"/>
        </w:rPr>
        <w:t>在进行更改之前，我们建议查阅</w:t>
      </w:r>
      <w:r>
        <w:rPr>
          <w:rFonts w:ascii="微软雅黑" w:hAnsi="微软雅黑"/>
          <w:color w:val="0066CC"/>
          <w:sz w:val="21"/>
          <w:u w:val="single"/>
        </w:rPr>
        <w:t>权限标记文档</w:t>
      </w:r>
      <w:r>
        <w:rPr>
          <w:rFonts w:ascii="微软雅黑" w:hAnsi="微软雅黑"/>
          <w:sz w:val="21"/>
        </w:rPr>
        <w:t>以了解权限标记对用户的影响。</w:t>
      </w:r>
    </w:p>
    <w:p>
      <w:pPr>
        <w:spacing w:line="360" w:lineRule="auto" w:after="120"/>
      </w:pPr>
      <w:r>
        <w:rPr>
          <w:rFonts w:ascii="微软雅黑" w:hAnsi="微软雅黑"/>
          <w:sz w:val="21"/>
        </w:rPr>
        <w:t>在模拟权限标记时，考虑以下几点：</w:t>
      </w:r>
    </w:p>
    <w:p>
      <w:pPr>
        <w:spacing w:before="120" w:after="240"/>
        <w:jc w:val="center"/>
      </w:pPr>
      <w:r>
        <w:drawing>
          <wp:inline xmlns:a="http://schemas.openxmlformats.org/drawingml/2006/main" xmlns:pic="http://schemas.openxmlformats.org/drawingml/2006/picture">
            <wp:extent cx="5029200" cy="2850947"/>
            <wp:docPr id="45" name="Picture 45"/>
            <wp:cNvGraphicFramePr>
              <a:graphicFrameLocks noChangeAspect="1"/>
            </wp:cNvGraphicFramePr>
            <a:graphic>
              <a:graphicData uri="http://schemas.openxmlformats.org/drawingml/2006/picture">
                <pic:pic>
                  <pic:nvPicPr>
                    <pic:cNvPr id="0" name="marking-simulation-stop-propagating.png"/>
                    <pic:cNvPicPr/>
                  </pic:nvPicPr>
                  <pic:blipFill>
                    <a:blip r:embed="rId53"/>
                    <a:stretch>
                      <a:fillRect/>
                    </a:stretch>
                  </pic:blipFill>
                  <pic:spPr>
                    <a:xfrm>
                      <a:off x="0" y="0"/>
                      <a:ext cx="5029200" cy="2850947"/>
                    </a:xfrm>
                    <a:prstGeom prst="rect"/>
                  </pic:spPr>
                </pic:pic>
              </a:graphicData>
            </a:graphic>
          </wp:inline>
        </w:drawing>
      </w:r>
    </w:p>
    <w:p>
      <w:pPr>
        <w:pStyle w:val="ListBullet"/>
        <w:spacing w:line="360" w:lineRule="auto" w:after="120"/>
      </w:pPr>
      <w:r>
        <w:rPr>
          <w:rFonts w:ascii="微软雅黑" w:hAnsi="微软雅黑"/>
          <w:sz w:val="21"/>
        </w:rPr>
        <w:t>在</w:t>
      </w:r>
      <w:r>
        <w:rPr>
          <w:rFonts w:ascii="微软雅黑" w:hAnsi="微软雅黑"/>
          <w:b/>
          <w:sz w:val="21"/>
        </w:rPr>
        <w:t>权限</w:t>
      </w:r>
      <w:r>
        <w:rPr>
          <w:rFonts w:ascii="微软雅黑" w:hAnsi="微软雅黑"/>
          <w:sz w:val="21"/>
        </w:rPr>
        <w:t>颜色中，数据沿袭图上的节点显示停止传播权限标记，表示数据访问被*通过代码修改*。此消息也将显示在节点属性侧边栏的</w:t>
      </w:r>
      <w:r>
        <w:rPr>
          <w:rFonts w:ascii="微软雅黑" w:hAnsi="微软雅黑"/>
          <w:b/>
          <w:sz w:val="21"/>
        </w:rPr>
        <w:t>访问信息</w:t>
      </w:r>
      <w:r>
        <w:rPr>
          <w:rFonts w:ascii="微软雅黑" w:hAnsi="微软雅黑"/>
          <w:sz w:val="21"/>
        </w:rPr>
        <w:t>部分。</w:t>
      </w:r>
    </w:p>
    <w:p>
      <w:pPr>
        <w:pStyle w:val="ListBullet"/>
        <w:spacing w:line="360" w:lineRule="auto" w:after="120"/>
      </w:pPr>
      <w:r>
        <w:rPr>
          <w:rFonts w:ascii="微软雅黑" w:hAnsi="微软雅黑"/>
          <w:sz w:val="21"/>
        </w:rPr>
        <w:t>在代码助手中，您可以检查数据集的代码，看看它是否通过使用术语</w:t>
      </w:r>
      <w:r>
        <w:rPr>
          <w:rFonts w:ascii="Consolas" w:hAnsi="Consolas"/>
          <w:color w:val="B43C3C"/>
          <w:sz w:val="18"/>
        </w:rPr>
        <w:t>stop_propagating</w:t>
      </w:r>
      <w:r>
        <w:rPr>
          <w:rFonts w:ascii="微软雅黑" w:hAnsi="微软雅黑"/>
          <w:sz w:val="21"/>
        </w:rPr>
        <w:t>来停止传播权限标记。</w:t>
      </w:r>
    </w:p>
    <w:p>
      <w:pPr>
        <w:pStyle w:val="ListBullet"/>
        <w:spacing w:line="360" w:lineRule="auto" w:after="120"/>
      </w:pPr>
      <w:r>
        <w:rPr>
          <w:rFonts w:ascii="微软雅黑" w:hAnsi="微软雅黑"/>
          <w:sz w:val="21"/>
        </w:rPr>
        <w:t>数据集可以从*其他输入*中继承权限标记；通过点击数据集节点左侧的箭头展开数据集输入。</w:t>
      </w:r>
    </w:p>
    <w:p>
      <w:pPr>
        <w:pStyle w:val="ListBullet"/>
        <w:spacing w:line="360" w:lineRule="auto" w:after="120"/>
      </w:pPr>
      <w:r>
        <w:rPr>
          <w:rFonts w:ascii="微软雅黑" w:hAnsi="微软雅黑"/>
          <w:sz w:val="21"/>
        </w:rPr>
        <w:t>权限标记可以应用于*父项目或文件夹*；当未启用模拟模式时，权限标记的左侧将显示文件夹图标，当启用模拟模式时，权限标记模拟菜单中将显示文件夹图标。</w:t>
      </w:r>
    </w:p>
    <w:p>
      <w:r>
        <w:br w:type="page"/>
      </w:r>
    </w:p>
    <w:p>
      <w:pPr>
        <w:pStyle w:val="Heading1"/>
      </w:pPr>
      <w:r>
        <w:rPr>
          <w:rFonts w:ascii="微软雅黑" w:hAnsi="微软雅黑"/>
        </w:rPr>
        <w:t>了解过时的数据集</w:t>
      </w:r>
    </w:p>
    <w:p>
      <w:pPr>
        <w:spacing w:line="360" w:lineRule="auto" w:after="120"/>
      </w:pPr>
      <w:r>
        <w:rPr>
          <w:rFonts w:ascii="微软雅黑" w:hAnsi="微软雅黑"/>
          <w:sz w:val="21"/>
        </w:rPr>
        <w:t># 了解过时的数据集</w:t>
      </w:r>
    </w:p>
    <w:p>
      <w:pPr>
        <w:spacing w:line="360" w:lineRule="auto" w:after="120"/>
      </w:pPr>
      <w:r>
        <w:rPr>
          <w:rFonts w:ascii="微软雅黑" w:hAnsi="微软雅黑"/>
          <w:sz w:val="21"/>
        </w:rPr>
        <w:t>您的数据集可能未更新的原因有几个。常见的场景包括：</w:t>
      </w:r>
    </w:p>
    <w:p>
      <w:pPr>
        <w:pStyle w:val="ListBullet"/>
        <w:spacing w:line="360" w:lineRule="auto" w:after="120"/>
      </w:pPr>
      <w:r>
        <w:rPr>
          <w:rFonts w:ascii="微软雅黑" w:hAnsi="微软雅黑"/>
          <w:sz w:val="21"/>
        </w:rPr>
        <w:t>我的数据集搭建是否失败？</w:t>
      </w:r>
    </w:p>
    <w:p>
      <w:pPr>
        <w:pStyle w:val="ListBullet"/>
        <w:spacing w:line="360" w:lineRule="auto" w:after="120"/>
      </w:pPr>
      <w:r>
        <w:rPr>
          <w:rFonts w:ascii="微软雅黑" w:hAnsi="微软雅黑"/>
          <w:sz w:val="21"/>
        </w:rPr>
        <w:t>是否有上游数据集未搭建且未更新？</w:t>
      </w:r>
    </w:p>
    <w:p>
      <w:pPr>
        <w:pStyle w:val="ListBullet"/>
        <w:spacing w:line="360" w:lineRule="auto" w:after="120"/>
      </w:pPr>
      <w:r>
        <w:rPr>
          <w:rFonts w:ascii="微软雅黑" w:hAnsi="微软雅黑"/>
          <w:sz w:val="21"/>
        </w:rPr>
        <w:t>我们是否从源接收到最新数据？</w:t>
      </w:r>
    </w:p>
    <w:p>
      <w:pPr>
        <w:spacing w:line="360" w:lineRule="auto" w:after="120"/>
      </w:pPr>
      <w:r>
        <w:rPr>
          <w:rFonts w:ascii="微软雅黑" w:hAnsi="微软雅黑"/>
          <w:sz w:val="21"/>
        </w:rPr>
        <w:t>您可以通过使用数据沿袭轻松解答这些问题。</w:t>
      </w:r>
    </w:p>
    <w:p>
      <w:pPr>
        <w:pStyle w:val="ListBullet"/>
        <w:spacing w:line="360" w:lineRule="auto" w:after="120"/>
      </w:pPr>
      <w:r>
        <w:rPr>
          <w:rFonts w:ascii="微软雅黑" w:hAnsi="微软雅黑"/>
          <w:sz w:val="21"/>
        </w:rPr>
        <w:t>首先，通过在数据沿袭中打开感兴趣的数据集并右键单击节点，验证管道中每个资源的状态。</w:t>
      </w:r>
    </w:p>
    <w:p>
      <w:pPr>
        <w:spacing w:after="40"/>
        <w:jc w:val="center"/>
      </w:pPr>
      <w:r>
        <w:rPr>
          <w:i/>
          <w:color w:val="646464"/>
          <w:sz w:val="18"/>
        </w:rPr>
        <w:t>图：展开选定节点</w:t>
      </w:r>
    </w:p>
    <w:p>
      <w:pPr>
        <w:spacing w:before="120" w:after="240"/>
        <w:jc w:val="center"/>
      </w:pPr>
      <w:r>
        <w:drawing>
          <wp:inline xmlns:a="http://schemas.openxmlformats.org/drawingml/2006/main" xmlns:pic="http://schemas.openxmlformats.org/drawingml/2006/picture">
            <wp:extent cx="3491176" cy="4114800"/>
            <wp:docPr id="46" name="Picture 46"/>
            <wp:cNvGraphicFramePr>
              <a:graphicFrameLocks noChangeAspect="1"/>
            </wp:cNvGraphicFramePr>
            <a:graphic>
              <a:graphicData uri="http://schemas.openxmlformats.org/drawingml/2006/picture">
                <pic:pic>
                  <pic:nvPicPr>
                    <pic:cNvPr id="0" name="expand-node-data-lineage.png"/>
                    <pic:cNvPicPr/>
                  </pic:nvPicPr>
                  <pic:blipFill>
                    <a:blip r:embed="rId54"/>
                    <a:stretch>
                      <a:fillRect/>
                    </a:stretch>
                  </pic:blipFill>
                  <pic:spPr>
                    <a:xfrm>
                      <a:off x="0" y="0"/>
                      <a:ext cx="3491176" cy="4114800"/>
                    </a:xfrm>
                    <a:prstGeom prst="rect"/>
                  </pic:spPr>
                </pic:pic>
              </a:graphicData>
            </a:graphic>
          </wp:inline>
        </w:drawing>
      </w:r>
    </w:p>
    <w:p>
      <w:pPr>
        <w:pStyle w:val="ListBullet"/>
        <w:spacing w:line="360" w:lineRule="auto" w:after="120"/>
      </w:pPr>
      <w:r>
        <w:rPr>
          <w:rFonts w:ascii="微软雅黑" w:hAnsi="微软雅黑"/>
          <w:sz w:val="21"/>
        </w:rPr>
        <w:t>然后，选择</w:t>
      </w:r>
      <w:r>
        <w:rPr>
          <w:rFonts w:ascii="微软雅黑" w:hAnsi="微软雅黑"/>
          <w:b/>
          <w:sz w:val="21"/>
        </w:rPr>
        <w:t>展开节点</w:t>
      </w:r>
      <w:r>
        <w:rPr>
          <w:rFonts w:ascii="微软雅黑" w:hAnsi="微软雅黑"/>
          <w:sz w:val="21"/>
        </w:rPr>
        <w:t>。您可以通过点击</w:t>
      </w:r>
      <w:r>
        <w:rPr>
          <w:rFonts w:ascii="微软雅黑" w:hAnsi="微软雅黑"/>
          <w:b/>
          <w:sz w:val="21"/>
        </w:rPr>
        <w:t>展开父节点</w:t>
      </w:r>
      <w:r>
        <w:rPr>
          <w:rFonts w:ascii="微软雅黑" w:hAnsi="微软雅黑"/>
          <w:sz w:val="21"/>
        </w:rPr>
        <w:t>上方的双左箭头来查看该数据集的所有祖先节点。</w:t>
      </w:r>
    </w:p>
    <w:p>
      <w:pPr>
        <w:spacing w:after="40"/>
        <w:jc w:val="center"/>
      </w:pPr>
      <w:r>
        <w:rPr>
          <w:i/>
          <w:color w:val="646464"/>
          <w:sz w:val="18"/>
        </w:rPr>
        <w:t>图：在展开节点后展开父节点</w:t>
      </w:r>
    </w:p>
    <w:p>
      <w:pPr>
        <w:spacing w:before="120" w:after="240"/>
        <w:jc w:val="center"/>
      </w:pPr>
      <w:r>
        <w:drawing>
          <wp:inline xmlns:a="http://schemas.openxmlformats.org/drawingml/2006/main" xmlns:pic="http://schemas.openxmlformats.org/drawingml/2006/picture">
            <wp:extent cx="5029200" cy="3448952"/>
            <wp:docPr id="47" name="Picture 47"/>
            <wp:cNvGraphicFramePr>
              <a:graphicFrameLocks noChangeAspect="1"/>
            </wp:cNvGraphicFramePr>
            <a:graphic>
              <a:graphicData uri="http://schemas.openxmlformats.org/drawingml/2006/picture">
                <pic:pic>
                  <pic:nvPicPr>
                    <pic:cNvPr id="0" name="parent-node.png"/>
                    <pic:cNvPicPr/>
                  </pic:nvPicPr>
                  <pic:blipFill>
                    <a:blip r:embed="rId55"/>
                    <a:stretch>
                      <a:fillRect/>
                    </a:stretch>
                  </pic:blipFill>
                  <pic:spPr>
                    <a:xfrm>
                      <a:off x="0" y="0"/>
                      <a:ext cx="5029200" cy="3448952"/>
                    </a:xfrm>
                    <a:prstGeom prst="rect"/>
                  </pic:spPr>
                </pic:pic>
              </a:graphicData>
            </a:graphic>
          </wp:inline>
        </w:drawing>
      </w:r>
    </w:p>
    <w:p>
      <w:pPr>
        <w:pStyle w:val="ListBullet"/>
        <w:spacing w:line="360" w:lineRule="auto" w:after="120"/>
      </w:pPr>
      <w:r>
        <w:rPr>
          <w:rFonts w:ascii="微软雅黑" w:hAnsi="微软雅黑"/>
          <w:sz w:val="21"/>
        </w:rPr>
        <w:t>接下来，在数据沿袭右上角的</w:t>
      </w:r>
      <w:r>
        <w:rPr>
          <w:rFonts w:ascii="微软雅黑" w:hAnsi="微软雅黑"/>
          <w:b/>
          <w:sz w:val="21"/>
        </w:rPr>
        <w:t>节点颜色选项</w:t>
      </w:r>
      <w:r>
        <w:rPr>
          <w:rFonts w:ascii="微软雅黑" w:hAnsi="微软雅黑"/>
          <w:sz w:val="21"/>
        </w:rPr>
        <w:t>下拉菜单中选择</w:t>
      </w:r>
      <w:r>
        <w:rPr>
          <w:rFonts w:ascii="微软雅黑" w:hAnsi="微软雅黑"/>
          <w:b/>
          <w:sz w:val="21"/>
        </w:rPr>
        <w:t>搭建状态</w:t>
      </w:r>
      <w:r>
        <w:rPr>
          <w:rFonts w:ascii="微软雅黑" w:hAnsi="微软雅黑"/>
          <w:sz w:val="21"/>
        </w:rPr>
        <w:t>选项，以查看管道中每个资源的搭建状态。此视图将使诊断过时的数据集变得更加容易。</w:t>
      </w:r>
    </w:p>
    <w:p>
      <w:pPr>
        <w:spacing w:after="40"/>
        <w:jc w:val="center"/>
      </w:pPr>
      <w:r>
        <w:rPr>
          <w:i/>
          <w:color w:val="646464"/>
          <w:sz w:val="18"/>
        </w:rPr>
        <w:t>图：选择搭建状态节点颜色</w:t>
      </w:r>
    </w:p>
    <w:p>
      <w:pPr>
        <w:spacing w:before="120" w:after="240"/>
        <w:jc w:val="center"/>
      </w:pPr>
      <w:r>
        <w:drawing>
          <wp:inline xmlns:a="http://schemas.openxmlformats.org/drawingml/2006/main" xmlns:pic="http://schemas.openxmlformats.org/drawingml/2006/picture">
            <wp:extent cx="4476654" cy="4114800"/>
            <wp:docPr id="48" name="Picture 48"/>
            <wp:cNvGraphicFramePr>
              <a:graphicFrameLocks noChangeAspect="1"/>
            </wp:cNvGraphicFramePr>
            <a:graphic>
              <a:graphicData uri="http://schemas.openxmlformats.org/drawingml/2006/picture">
                <pic:pic>
                  <pic:nvPicPr>
                    <pic:cNvPr id="0" name="node-color-build-status.png"/>
                    <pic:cNvPicPr/>
                  </pic:nvPicPr>
                  <pic:blipFill>
                    <a:blip r:embed="rId56"/>
                    <a:stretch>
                      <a:fillRect/>
                    </a:stretch>
                  </pic:blipFill>
                  <pic:spPr>
                    <a:xfrm>
                      <a:off x="0" y="0"/>
                      <a:ext cx="4476654" cy="4114800"/>
                    </a:xfrm>
                    <a:prstGeom prst="rect"/>
                  </pic:spPr>
                </pic:pic>
              </a:graphicData>
            </a:graphic>
          </wp:inline>
        </w:drawing>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gif"/><Relationship Id="rId15" Type="http://schemas.openxmlformats.org/officeDocument/2006/relationships/image" Target="media/image7.gif"/><Relationship Id="rId16" Type="http://schemas.openxmlformats.org/officeDocument/2006/relationships/image" Target="media/image8.gif"/><Relationship Id="rId17" Type="http://schemas.openxmlformats.org/officeDocument/2006/relationships/image" Target="media/image9.gif"/><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gif"/><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