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hyperauto</w:t>
      </w:r>
    </w:p>
    <w:p>
      <w:pPr>
        <w:jc w:val="center"/>
      </w:pPr>
      <w:r>
        <w:rPr>
          <w:rFonts w:ascii="微软雅黑" w:hAnsi="微软雅黑"/>
          <w:color w:val="505050"/>
          <w:sz w:val="48"/>
        </w:rPr>
        <w:t>Hyperauto</w:t>
      </w:r>
    </w:p>
    <w:p/>
    <w:p/>
    <w:p>
      <w:pPr>
        <w:jc w:val="center"/>
      </w:pPr>
      <w:r>
        <w:rPr>
          <w:rFonts w:ascii="微软雅黑" w:hAnsi="微软雅黑"/>
          <w:color w:val="646464"/>
          <w:sz w:val="28"/>
        </w:rPr>
        <w:t>Palantir Foundry Hyperauto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HyperAuto V1 概述</w:t>
      </w:r>
    </w:p>
    <w:p>
      <w:pPr>
        <w:spacing w:after="80"/>
      </w:pPr>
      <w:r>
        <w:rPr>
          <w:rFonts w:ascii="微软雅黑" w:hAnsi="微软雅黑"/>
          <w:sz w:val="22"/>
        </w:rPr>
        <w:t>概览</w:t>
      </w:r>
    </w:p>
    <w:p>
      <w:pPr>
        <w:spacing w:after="80"/>
      </w:pPr>
      <w:r>
        <w:rPr>
          <w:rFonts w:ascii="微软雅黑" w:hAnsi="微软雅黑"/>
          <w:sz w:val="22"/>
        </w:rPr>
        <w:t>HyperAuto中的AIP功能</w:t>
      </w:r>
    </w:p>
    <w:p>
      <w:pPr>
        <w:spacing w:after="80"/>
      </w:pPr>
      <w:r>
        <w:rPr>
          <w:rFonts w:ascii="微软雅黑" w:hAnsi="微软雅黑"/>
          <w:sz w:val="22"/>
        </w:rPr>
        <w:t>HyperAuto V2 架构</w:t>
      </w:r>
    </w:p>
    <w:p>
      <w:pPr>
        <w:spacing w:after="80"/>
      </w:pPr>
      <w:r>
        <w:rPr>
          <w:rFonts w:ascii="微软雅黑" w:hAnsi="微软雅黑"/>
          <w:sz w:val="22"/>
        </w:rPr>
        <w:t>HyperAuto V2 配置选项</w:t>
      </w:r>
    </w:p>
    <w:p>
      <w:pPr>
        <w:spacing w:after="80"/>
      </w:pPr>
      <w:r>
        <w:rPr>
          <w:rFonts w:ascii="微软雅黑" w:hAnsi="微软雅黑"/>
          <w:sz w:val="22"/>
        </w:rPr>
        <w:t>基于文件夹的SAP数据管道</w:t>
      </w:r>
    </w:p>
    <w:p>
      <w:pPr>
        <w:spacing w:after="80"/>
      </w:pPr>
      <w:r>
        <w:rPr>
          <w:rFonts w:ascii="微软雅黑" w:hAnsi="微软雅黑"/>
          <w:sz w:val="22"/>
        </w:rPr>
        <w:t>HyperAuto V2 入门指南</w:t>
      </w:r>
    </w:p>
    <w:p>
      <w:pPr>
        <w:spacing w:after="80"/>
      </w:pPr>
      <w:r>
        <w:rPr>
          <w:rFonts w:ascii="微软雅黑" w:hAnsi="微软雅黑"/>
          <w:sz w:val="22"/>
        </w:rPr>
        <w:t>提案</w:t>
      </w:r>
    </w:p>
    <w:p>
      <w:pPr>
        <w:spacing w:after="80"/>
      </w:pPr>
      <w:r>
        <w:rPr>
          <w:rFonts w:ascii="微软雅黑" w:hAnsi="微软雅黑"/>
          <w:sz w:val="22"/>
        </w:rPr>
        <w:t>HyperAuto V2 支持的来源</w:t>
      </w:r>
    </w:p>
    <w:p>
      <w:pPr>
        <w:spacing w:after="80"/>
      </w:pPr>
      <w:r>
        <w:rPr>
          <w:rFonts w:ascii="微软雅黑" w:hAnsi="微软雅黑"/>
          <w:sz w:val="22"/>
        </w:rPr>
        <w:t>SDDI 控制台</w:t>
      </w:r>
    </w:p>
    <w:p>
      <w:pPr>
        <w:spacing w:after="80"/>
      </w:pPr>
      <w:r>
        <w:rPr>
          <w:rFonts w:ascii="微软雅黑" w:hAnsi="微软雅黑"/>
          <w:sz w:val="22"/>
        </w:rPr>
        <w:t>配置参考</w:t>
      </w:r>
    </w:p>
    <w:p>
      <w:pPr>
        <w:spacing w:after="80"/>
      </w:pPr>
      <w:r>
        <w:rPr>
          <w:rFonts w:ascii="微软雅黑" w:hAnsi="微软雅黑"/>
          <w:sz w:val="22"/>
        </w:rPr>
        <w:t>HyperAuto V1 常见问题</w:t>
      </w:r>
    </w:p>
    <w:p>
      <w:pPr>
        <w:spacing w:after="80"/>
      </w:pPr>
      <w:r>
        <w:rPr>
          <w:rFonts w:ascii="微软雅黑" w:hAnsi="微软雅黑"/>
          <w:sz w:val="22"/>
        </w:rPr>
        <w:t>开始使用 HyperAuto V1</w:t>
      </w:r>
    </w:p>
    <w:p>
      <w:pPr>
        <w:spacing w:after="80"/>
      </w:pPr>
      <w:r>
        <w:rPr>
          <w:rFonts w:ascii="微软雅黑" w:hAnsi="微软雅黑"/>
          <w:sz w:val="22"/>
        </w:rPr>
        <w:t>数据源探索</w:t>
      </w:r>
    </w:p>
    <w:p>
      <w:pPr>
        <w:spacing w:after="80"/>
      </w:pPr>
      <w:r>
        <w:rPr>
          <w:rFonts w:ascii="微软雅黑" w:hAnsi="微软雅黑"/>
          <w:sz w:val="22"/>
        </w:rPr>
        <w:t>从 HyperAuto V1 迁移到 V2</w:t>
      </w:r>
    </w:p>
    <w:p>
      <w:r>
        <w:br w:type="page"/>
      </w:r>
    </w:p>
    <w:p>
      <w:pPr>
        <w:pStyle w:val="Heading1"/>
      </w:pPr>
      <w:r>
        <w:rPr>
          <w:rFonts w:ascii="微软雅黑" w:hAnsi="微软雅黑"/>
        </w:rPr>
        <w:t>HyperAuto V1 概述</w:t>
      </w:r>
    </w:p>
    <w:p>
      <w:pPr>
        <w:spacing w:line="360" w:lineRule="auto" w:after="120"/>
      </w:pPr>
      <w:r>
        <w:rPr>
          <w:rFonts w:ascii="微软雅黑" w:hAnsi="微软雅黑"/>
          <w:sz w:val="21"/>
        </w:rPr>
        <w:t># HyperAuto V1 概述</w:t>
      </w:r>
    </w:p>
    <w:p>
      <w:pPr>
        <w:spacing w:line="360" w:lineRule="auto" w:after="120"/>
      </w:pPr>
      <w:r>
        <w:rPr>
          <w:rFonts w:ascii="微软雅黑" w:hAnsi="微软雅黑"/>
          <w:sz w:val="21"/>
        </w:rPr>
        <w:t xml:space="preserve">HyperAuto V1（也称为 SDDI 或 Bellhop）是 Palantir 的源到价值自动化套件的第一个版本。虽然 </w:t>
      </w:r>
      <w:r>
        <w:rPr>
          <w:rFonts w:ascii="微软雅黑" w:hAnsi="微软雅黑"/>
          <w:color w:val="0066CC"/>
          <w:sz w:val="21"/>
          <w:u w:val="single"/>
        </w:rPr>
        <w:t>HyperAuto V2</w:t>
      </w:r>
      <w:r>
        <w:rPr>
          <w:rFonts w:ascii="微软雅黑" w:hAnsi="微软雅黑"/>
          <w:sz w:val="21"/>
        </w:rPr>
        <w:t xml:space="preserve"> 已经为 SAP 发布，并且强烈推荐用于该数据源，但 HyperAuto V1 仍然支持多种源类型，包括：</w:t>
      </w:r>
    </w:p>
    <w:p>
      <w:pPr>
        <w:pStyle w:val="ListBullet"/>
        <w:spacing w:line="360" w:lineRule="auto" w:after="120"/>
      </w:pPr>
      <w:r>
        <w:rPr>
          <w:rFonts w:ascii="微软雅黑" w:hAnsi="微软雅黑"/>
          <w:sz w:val="21"/>
        </w:rPr>
        <w:t>Salesforce</w:t>
      </w:r>
    </w:p>
    <w:p>
      <w:pPr>
        <w:pStyle w:val="ListBullet"/>
        <w:spacing w:line="360" w:lineRule="auto" w:after="120"/>
      </w:pPr>
      <w:r>
        <w:rPr>
          <w:rFonts w:ascii="微软雅黑" w:hAnsi="微软雅黑"/>
          <w:sz w:val="21"/>
        </w:rPr>
        <w:t>Oracle NetSuite</w:t>
      </w:r>
    </w:p>
    <w:p>
      <w:pPr>
        <w:pStyle w:val="ListBullet"/>
        <w:spacing w:line="360" w:lineRule="auto" w:after="120"/>
      </w:pPr>
      <w:r>
        <w:rPr>
          <w:rFonts w:ascii="微软雅黑" w:hAnsi="微软雅黑"/>
          <w:sz w:val="21"/>
        </w:rPr>
        <w:t xml:space="preserve">SAP（不推荐使用 V1，请使用 </w:t>
      </w:r>
      <w:r>
        <w:rPr>
          <w:rFonts w:ascii="微软雅黑" w:hAnsi="微软雅黑"/>
          <w:color w:val="0066CC"/>
          <w:sz w:val="21"/>
          <w:u w:val="single"/>
        </w:rPr>
        <w:t>V2</w:t>
      </w:r>
      <w:r>
        <w:rPr>
          <w:rFonts w:ascii="微软雅黑" w:hAnsi="微软雅黑"/>
          <w:sz w:val="21"/>
        </w:rPr>
        <w:t>）</w:t>
      </w:r>
    </w:p>
    <w:p>
      <w:pPr>
        <w:spacing w:line="360" w:lineRule="auto" w:after="120"/>
      </w:pPr>
      <w:r>
        <w:rPr>
          <w:rFonts w:ascii="微软雅黑" w:hAnsi="微软雅黑"/>
          <w:sz w:val="21"/>
        </w:rPr>
        <w:t xml:space="preserve">HyperAuto V1 的详细文档可在平台内查看。您可以在其中查看 </w:t>
      </w:r>
      <w:r>
        <w:rPr>
          <w:rFonts w:ascii="微软雅黑" w:hAnsi="微软雅黑"/>
          <w:b/>
          <w:sz w:val="21"/>
        </w:rPr>
        <w:t>软件定义数据集成</w:t>
      </w:r>
      <w:r>
        <w:rPr>
          <w:rFonts w:ascii="微软雅黑" w:hAnsi="微软雅黑"/>
          <w:sz w:val="21"/>
        </w:rPr>
        <w:t xml:space="preserve"> 以了解各种配置选项。</w:t>
      </w:r>
    </w:p>
    <w:p>
      <w:pPr>
        <w:pStyle w:val="Heading2"/>
      </w:pPr>
      <w:r>
        <w:rPr>
          <w:rFonts w:ascii="微软雅黑" w:hAnsi="微软雅黑"/>
        </w:rPr>
        <w:t>架构</w:t>
      </w:r>
    </w:p>
    <w:p>
      <w:pPr>
        <w:spacing w:line="360" w:lineRule="auto" w:after="120"/>
      </w:pPr>
      <w:r>
        <w:rPr>
          <w:rFonts w:ascii="微软雅黑" w:hAnsi="微软雅黑"/>
          <w:sz w:val="21"/>
        </w:rPr>
        <w:t>HyperAuto V1 由三个组件组成，旨在以最小的努力将数据从原始来源集成到 Ontology：</w:t>
      </w:r>
    </w:p>
    <w:p>
      <w:pPr>
        <w:pStyle w:val="ListNumber"/>
        <w:spacing w:line="360" w:lineRule="auto" w:after="120"/>
      </w:pPr>
      <w:r>
        <w:rPr>
          <w:rFonts w:ascii="微软雅黑" w:hAnsi="微软雅黑"/>
          <w:b/>
          <w:sz w:val="21"/>
        </w:rPr>
        <w:t>连接器</w:t>
      </w:r>
      <w:r>
        <w:rPr>
          <w:rFonts w:ascii="微软雅黑" w:hAnsi="微软雅黑"/>
          <w:sz w:val="21"/>
        </w:rPr>
        <w:t xml:space="preserve"> 以安全和优化的方式在源系统之间传输大规模数据。</w:t>
      </w:r>
    </w:p>
    <w:p>
      <w:pPr>
        <w:pStyle w:val="ListNumber"/>
        <w:spacing w:line="360" w:lineRule="auto" w:after="120"/>
      </w:pPr>
      <w:r>
        <w:rPr>
          <w:rFonts w:ascii="微软雅黑" w:hAnsi="微软雅黑"/>
          <w:b/>
          <w:sz w:val="21"/>
        </w:rPr>
        <w:t>源探索</w:t>
      </w:r>
      <w:r>
        <w:rPr>
          <w:rFonts w:ascii="微软雅黑" w:hAnsi="微软雅黑"/>
          <w:sz w:val="21"/>
        </w:rPr>
        <w:t xml:space="preserve"> 允许以引导方式快速发现数据，并提供“购物车”体验以快速创建和配置批量数据同步。</w:t>
      </w:r>
    </w:p>
    <w:p>
      <w:pPr>
        <w:pStyle w:val="ListNumber"/>
        <w:spacing w:line="360" w:lineRule="auto" w:after="120"/>
      </w:pPr>
      <w:r>
        <w:rPr>
          <w:rFonts w:ascii="微软雅黑" w:hAnsi="微软雅黑"/>
          <w:b/>
          <w:sz w:val="21"/>
        </w:rPr>
        <w:t>自动化管道生成</w:t>
      </w:r>
      <w:r>
        <w:rPr>
          <w:rFonts w:ascii="微软雅黑" w:hAnsi="微软雅黑"/>
          <w:sz w:val="21"/>
        </w:rPr>
        <w:t xml:space="preserve"> 使用自动生成的数据管道将原始数据转换为在 </w:t>
      </w:r>
      <w:r>
        <w:rPr>
          <w:rFonts w:ascii="微软雅黑" w:hAnsi="微软雅黑"/>
          <w:color w:val="0066CC"/>
          <w:sz w:val="21"/>
          <w:u w:val="single"/>
        </w:rPr>
        <w:t>Ontology</w:t>
      </w:r>
      <w:r>
        <w:rPr>
          <w:rFonts w:ascii="微软雅黑" w:hAnsi="微软雅黑"/>
          <w:sz w:val="21"/>
        </w:rPr>
        <w:t xml:space="preserve"> 中策划的 Foundry 数据集和 Object 类型。</w:t>
      </w:r>
    </w:p>
    <w:p>
      <w:pPr>
        <w:spacing w:after="40"/>
        <w:jc w:val="center"/>
      </w:pPr>
      <w:r>
        <w:rPr>
          <w:i/>
          <w:color w:val="646464"/>
          <w:sz w:val="18"/>
        </w:rPr>
        <w:t>图：架构图</w:t>
      </w:r>
    </w:p>
    <w:p>
      <w:pPr>
        <w:spacing w:before="120" w:after="240"/>
        <w:jc w:val="center"/>
      </w:pPr>
      <w:r>
        <w:drawing>
          <wp:inline xmlns:a="http://schemas.openxmlformats.org/drawingml/2006/main" xmlns:pic="http://schemas.openxmlformats.org/drawingml/2006/picture">
            <wp:extent cx="5029200" cy="1673546"/>
            <wp:docPr id="1" name="Picture 1"/>
            <wp:cNvGraphicFramePr>
              <a:graphicFrameLocks noChangeAspect="1"/>
            </wp:cNvGraphicFramePr>
            <a:graphic>
              <a:graphicData uri="http://schemas.openxmlformats.org/drawingml/2006/picture">
                <pic:pic>
                  <pic:nvPicPr>
                    <pic:cNvPr id="0" name="v1-sddi-overall-architecture.png"/>
                    <pic:cNvPicPr/>
                  </pic:nvPicPr>
                  <pic:blipFill>
                    <a:blip r:embed="rId9"/>
                    <a:stretch>
                      <a:fillRect/>
                    </a:stretch>
                  </pic:blipFill>
                  <pic:spPr>
                    <a:xfrm>
                      <a:off x="0" y="0"/>
                      <a:ext cx="5029200" cy="1673546"/>
                    </a:xfrm>
                    <a:prstGeom prst="rect"/>
                  </pic:spPr>
                </pic:pic>
              </a:graphicData>
            </a:graphic>
          </wp:inline>
        </w:drawing>
      </w:r>
    </w:p>
    <w:p>
      <w:pPr>
        <w:pStyle w:val="Heading2"/>
      </w:pPr>
      <w:r>
        <w:rPr>
          <w:rFonts w:ascii="微软雅黑" w:hAnsi="微软雅黑"/>
        </w:rPr>
        <w:t>管道生成</w:t>
      </w:r>
    </w:p>
    <w:p>
      <w:r>
        <w:rPr>
          <w:rFonts w:ascii="微软雅黑" w:hAnsi="微软雅黑"/>
          <w:b/>
        </w:rPr>
        <w:t>自动化管道生成</w:t>
      </w:r>
      <w:r>
        <w:rPr>
          <w:rFonts w:ascii="微软雅黑" w:hAnsi="微软雅黑"/>
        </w:rPr>
        <w:t>：为集成常见源系统创建开箱即用的数据管道。这些管道准备数据，以便它们可以被 Ontology 和工作流使用。由于管道生成包含关于每个源系统的嵌入式知识，使用此功能可以提高效率，并消除了对每个底层源系统的复杂性进行全面了解的需求。</w:t>
      </w:r>
    </w:p>
    <w:p>
      <w:pPr>
        <w:spacing w:after="40"/>
        <w:jc w:val="center"/>
      </w:pPr>
      <w:r>
        <w:rPr>
          <w:i/>
          <w:color w:val="646464"/>
          <w:sz w:val="18"/>
        </w:rPr>
        <w:t>图：管道生成器架构图</w:t>
      </w:r>
    </w:p>
    <w:p>
      <w:pPr>
        <w:spacing w:before="120" w:after="240"/>
        <w:jc w:val="center"/>
      </w:pPr>
      <w:r>
        <w:drawing>
          <wp:inline xmlns:a="http://schemas.openxmlformats.org/drawingml/2006/main" xmlns:pic="http://schemas.openxmlformats.org/drawingml/2006/picture">
            <wp:extent cx="5029200" cy="1936242"/>
            <wp:docPr id="2" name="Picture 2"/>
            <wp:cNvGraphicFramePr>
              <a:graphicFrameLocks noChangeAspect="1"/>
            </wp:cNvGraphicFramePr>
            <a:graphic>
              <a:graphicData uri="http://schemas.openxmlformats.org/drawingml/2006/picture">
                <pic:pic>
                  <pic:nvPicPr>
                    <pic:cNvPr id="0" name="v1-sddi-pipeline-generator-architecture.png"/>
                    <pic:cNvPicPr/>
                  </pic:nvPicPr>
                  <pic:blipFill>
                    <a:blip r:embed="rId10"/>
                    <a:stretch>
                      <a:fillRect/>
                    </a:stretch>
                  </pic:blipFill>
                  <pic:spPr>
                    <a:xfrm>
                      <a:off x="0" y="0"/>
                      <a:ext cx="5029200" cy="1936242"/>
                    </a:xfrm>
                    <a:prstGeom prst="rect"/>
                  </pic:spPr>
                </pic:pic>
              </a:graphicData>
            </a:graphic>
          </wp:inline>
        </w:drawing>
      </w:r>
    </w:p>
    <w:p>
      <w:pPr>
        <w:spacing w:line="360" w:lineRule="auto" w:after="120"/>
      </w:pPr>
      <w:r>
        <w:rPr>
          <w:rFonts w:ascii="微软雅黑" w:hAnsi="微软雅黑"/>
          <w:sz w:val="21"/>
        </w:rPr>
        <w:t>生成的管道包括四个主要步骤：</w:t>
      </w:r>
    </w:p>
    <w:p>
      <w:pPr>
        <w:pStyle w:val="ListBullet"/>
        <w:spacing w:line="360" w:lineRule="auto" w:after="120"/>
      </w:pPr>
      <w:r>
        <w:rPr>
          <w:rFonts w:ascii="微软雅黑" w:hAnsi="微软雅黑"/>
          <w:sz w:val="21"/>
        </w:rPr>
        <w:t>*源特定预处理* 生成具有预定义模式的元数据集。这些元数据包含理解源系统数据所需的信息。</w:t>
      </w:r>
    </w:p>
    <w:p>
      <w:pPr>
        <w:pStyle w:val="ListBullet"/>
        <w:spacing w:line="360" w:lineRule="auto" w:after="120"/>
      </w:pPr>
      <w:r>
        <w:rPr>
          <w:rFonts w:ascii="微软雅黑" w:hAnsi="微软雅黑"/>
          <w:sz w:val="21"/>
        </w:rPr>
        <w:t>*清理库* 对所有数据集应用标准化的数据清理步骤，确保每一条流入系统的数据都遵循最佳实践。</w:t>
      </w:r>
    </w:p>
    <w:p>
      <w:pPr>
        <w:pStyle w:val="ListBullet"/>
        <w:spacing w:line="360" w:lineRule="auto" w:after="120"/>
      </w:pPr>
      <w:r>
        <w:rPr>
          <w:rFonts w:ascii="微软雅黑" w:hAnsi="微软雅黑"/>
          <w:sz w:val="21"/>
        </w:rPr>
        <w:t>*核心生成* 执行数据丰富、列重命名、去重和数据合并，以生成可用于 Ontology 中的分析、报告和工作流的可用数据。</w:t>
      </w:r>
    </w:p>
    <w:p>
      <w:pPr>
        <w:pStyle w:val="ListBullet"/>
        <w:spacing w:line="360" w:lineRule="auto" w:after="120"/>
      </w:pPr>
      <w:r>
        <w:rPr>
          <w:rFonts w:ascii="微软雅黑" w:hAnsi="微软雅黑"/>
          <w:sz w:val="21"/>
        </w:rPr>
        <w:t>*派生元素* 提供对高级工作流的预定义支持，包括生成合并表、时间序列数据集和提供丰富派生信息的丰富列，这些信息也会反馈到 Ontology 中。</w:t>
      </w:r>
    </w:p>
    <w:p>
      <w:pPr>
        <w:spacing w:after="40"/>
        <w:jc w:val="center"/>
      </w:pPr>
      <w:r>
        <w:rPr>
          <w:i/>
          <w:color w:val="646464"/>
          <w:sz w:val="18"/>
        </w:rPr>
        <w:t>图：管道数据沿袭图</w:t>
      </w:r>
    </w:p>
    <w:p>
      <w:pPr>
        <w:spacing w:before="120" w:after="240"/>
        <w:jc w:val="center"/>
      </w:pPr>
      <w:r>
        <w:drawing>
          <wp:inline xmlns:a="http://schemas.openxmlformats.org/drawingml/2006/main" xmlns:pic="http://schemas.openxmlformats.org/drawingml/2006/picture">
            <wp:extent cx="5029200" cy="3235326"/>
            <wp:docPr id="3" name="Picture 3"/>
            <wp:cNvGraphicFramePr>
              <a:graphicFrameLocks noChangeAspect="1"/>
            </wp:cNvGraphicFramePr>
            <a:graphic>
              <a:graphicData uri="http://schemas.openxmlformats.org/drawingml/2006/picture">
                <pic:pic>
                  <pic:nvPicPr>
                    <pic:cNvPr id="0" name="v1-sddi-pipeline-generator-data-lineage.png"/>
                    <pic:cNvPicPr/>
                  </pic:nvPicPr>
                  <pic:blipFill>
                    <a:blip r:embed="rId11"/>
                    <a:stretch>
                      <a:fillRect/>
                    </a:stretch>
                  </pic:blipFill>
                  <pic:spPr>
                    <a:xfrm>
                      <a:off x="0" y="0"/>
                      <a:ext cx="5029200" cy="3235326"/>
                    </a:xfrm>
                    <a:prstGeom prst="rect"/>
                  </pic:spPr>
                </pic:pic>
              </a:graphicData>
            </a:graphic>
          </wp:inline>
        </w:drawing>
      </w:r>
    </w:p>
    <w:p>
      <w:pPr>
        <w:pStyle w:val="Heading2"/>
      </w:pPr>
      <w:r>
        <w:rPr>
          <w:rFonts w:ascii="微软雅黑" w:hAnsi="微软雅黑"/>
        </w:rPr>
        <w:t>Ontology 创建</w:t>
      </w:r>
    </w:p>
    <w:p>
      <w:pPr>
        <w:spacing w:line="360" w:lineRule="auto" w:after="120"/>
      </w:pPr>
      <w:r>
        <w:rPr>
          <w:rFonts w:ascii="微软雅黑" w:hAnsi="微软雅黑"/>
          <w:sz w:val="21"/>
        </w:rPr>
        <w:t xml:space="preserve">在管道自动生成后，HyperAuto V1 还支持自动生成 </w:t>
      </w:r>
      <w:r>
        <w:rPr>
          <w:rFonts w:ascii="微软雅黑" w:hAnsi="微软雅黑"/>
          <w:color w:val="0066CC"/>
          <w:sz w:val="21"/>
          <w:u w:val="single"/>
        </w:rPr>
        <w:t>Ontology</w:t>
      </w:r>
      <w:r>
        <w:rPr>
          <w:rFonts w:ascii="微软雅黑" w:hAnsi="微软雅黑"/>
          <w:sz w:val="21"/>
        </w:rPr>
        <w:t xml:space="preserve">。这完成了数据集成过程，使您可以立即开始搜索、分析，甚至在数据之上搭建应用程序，得益于 Foundry 中一系列 </w:t>
      </w:r>
      <w:r>
        <w:rPr>
          <w:rFonts w:ascii="微软雅黑" w:hAnsi="微软雅黑"/>
          <w:color w:val="0066CC"/>
          <w:sz w:val="21"/>
          <w:u w:val="single"/>
        </w:rPr>
        <w:t>Ontology 感知应用程序</w:t>
      </w:r>
      <w:r>
        <w:rPr>
          <w:rFonts w:ascii="微软雅黑" w:hAnsi="微软雅黑"/>
          <w:sz w:val="21"/>
        </w:rPr>
        <w:t>。</w:t>
      </w:r>
    </w:p>
    <w:p>
      <w:pPr>
        <w:spacing w:after="40"/>
        <w:jc w:val="center"/>
      </w:pPr>
      <w:r>
        <w:rPr>
          <w:i/>
          <w:color w:val="646464"/>
          <w:sz w:val="18"/>
        </w:rPr>
        <w:t>图：批量 Ontology 生成</w:t>
      </w:r>
    </w:p>
    <w:p>
      <w:pPr>
        <w:spacing w:before="120" w:after="240"/>
        <w:jc w:val="center"/>
      </w:pPr>
      <w:r>
        <w:drawing>
          <wp:inline xmlns:a="http://schemas.openxmlformats.org/drawingml/2006/main" xmlns:pic="http://schemas.openxmlformats.org/drawingml/2006/picture">
            <wp:extent cx="5029200" cy="2851376"/>
            <wp:docPr id="4" name="Picture 4"/>
            <wp:cNvGraphicFramePr>
              <a:graphicFrameLocks noChangeAspect="1"/>
            </wp:cNvGraphicFramePr>
            <a:graphic>
              <a:graphicData uri="http://schemas.openxmlformats.org/drawingml/2006/picture">
                <pic:pic>
                  <pic:nvPicPr>
                    <pic:cNvPr id="0" name="v1-sddi-cockpit-batch-ontology-generation.png"/>
                    <pic:cNvPicPr/>
                  </pic:nvPicPr>
                  <pic:blipFill>
                    <a:blip r:embed="rId12"/>
                    <a:stretch>
                      <a:fillRect/>
                    </a:stretch>
                  </pic:blipFill>
                  <pic:spPr>
                    <a:xfrm>
                      <a:off x="0" y="0"/>
                      <a:ext cx="5029200" cy="2851376"/>
                    </a:xfrm>
                    <a:prstGeom prst="rect"/>
                  </pic:spPr>
                </pic:pic>
              </a:graphicData>
            </a:graphic>
          </wp:inline>
        </w:drawing>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pPr>
        <w:spacing w:line="360" w:lineRule="auto" w:after="120"/>
      </w:pPr>
      <w:r>
        <w:rPr>
          <w:rFonts w:ascii="微软雅黑" w:hAnsi="微软雅黑"/>
          <w:sz w:val="21"/>
        </w:rPr>
        <w:t>HyperAuto V2 带来了新的用户体验和性能提升，包括实时流支持，以便在瞬间提供更有用的应用程序就绪数据。</w:t>
      </w:r>
    </w:p>
    <w:p>
      <w:pPr>
        <w:spacing w:line="360" w:lineRule="auto" w:after="120"/>
      </w:pPr>
      <w:r>
        <w:rPr>
          <w:rFonts w:ascii="微软雅黑" w:hAnsi="微软雅黑"/>
          <w:sz w:val="21"/>
        </w:rPr>
        <w:t>目前，HyperAuto V2 仅支持 SAP 数据源。</w:t>
      </w:r>
    </w:p>
    <w:p>
      <w:pPr>
        <w:spacing w:line="360" w:lineRule="auto" w:after="120"/>
      </w:pPr>
      <w:r>
        <w:rPr>
          <w:rFonts w:ascii="微软雅黑" w:hAnsi="微软雅黑"/>
          <w:sz w:val="21"/>
        </w:rPr>
        <w:t>Palantir HyperAuto —— 也称为软件定义数据集成（Software-Defined Data Integration, SDDI）—— 是一套能力，旨在在组织中最常用和关键的系统之上提供开箱即用的端到端数据集成能力。作为数字化转型的快速通道，HyperAuto 使您能够自主创建有价值的工作流，使用 ERP、CRM 和其他组织关键数据。</w:t>
      </w:r>
    </w:p>
    <w:p>
      <w:pPr>
        <w:spacing w:line="360" w:lineRule="auto" w:after="120"/>
      </w:pPr>
      <w:r>
        <w:rPr>
          <w:rFonts w:ascii="微软雅黑" w:hAnsi="微软雅黑"/>
          <w:sz w:val="21"/>
        </w:rPr>
        <w:t>通过 HyperAuto，您可以同步、集成和构建数据，以便立即在主要数据系统之上搭建新的工作流。HyperAuto 支持的最广泛使用的系统包括：</w:t>
      </w:r>
    </w:p>
    <w:p>
      <w:pPr>
        <w:pStyle w:val="ListBullet"/>
        <w:spacing w:line="360" w:lineRule="auto" w:after="120"/>
      </w:pPr>
      <w:r>
        <w:rPr>
          <w:rFonts w:ascii="微软雅黑" w:hAnsi="微软雅黑"/>
          <w:sz w:val="21"/>
        </w:rPr>
        <w:t>SAP (V2)</w:t>
      </w:r>
    </w:p>
    <w:p>
      <w:pPr>
        <w:pStyle w:val="ListBullet"/>
        <w:spacing w:line="360" w:lineRule="auto" w:after="120"/>
      </w:pPr>
      <w:r>
        <w:rPr>
          <w:rFonts w:ascii="微软雅黑" w:hAnsi="微软雅黑"/>
          <w:sz w:val="21"/>
        </w:rPr>
        <w:t>Salesforce (V1)</w:t>
      </w:r>
    </w:p>
    <w:p>
      <w:pPr>
        <w:pStyle w:val="ListBullet"/>
        <w:spacing w:line="360" w:lineRule="auto" w:after="120"/>
      </w:pPr>
      <w:r>
        <w:rPr>
          <w:rFonts w:ascii="微软雅黑" w:hAnsi="微软雅黑"/>
          <w:sz w:val="21"/>
        </w:rPr>
        <w:t>Oracle NetSuite (V1)</w:t>
      </w:r>
    </w:p>
    <w:p>
      <w:pPr>
        <w:spacing w:after="40"/>
        <w:jc w:val="center"/>
      </w:pPr>
      <w:r>
        <w:rPr>
          <w:i/>
          <w:color w:val="646464"/>
          <w:sz w:val="18"/>
        </w:rPr>
        <w:t>图：HyperAuto 生成的搭建器管道</w:t>
      </w:r>
    </w:p>
    <w:p>
      <w:pPr>
        <w:spacing w:before="120" w:after="240"/>
        <w:jc w:val="center"/>
      </w:pPr>
      <w:r>
        <w:drawing>
          <wp:inline xmlns:a="http://schemas.openxmlformats.org/drawingml/2006/main" xmlns:pic="http://schemas.openxmlformats.org/drawingml/2006/picture">
            <wp:extent cx="5029200" cy="2581383"/>
            <wp:docPr id="5" name="Picture 5"/>
            <wp:cNvGraphicFramePr>
              <a:graphicFrameLocks noChangeAspect="1"/>
            </wp:cNvGraphicFramePr>
            <a:graphic>
              <a:graphicData uri="http://schemas.openxmlformats.org/drawingml/2006/picture">
                <pic:pic>
                  <pic:nvPicPr>
                    <pic:cNvPr id="0" name="hyperauto-v2-builder-pipeline.png"/>
                    <pic:cNvPicPr/>
                  </pic:nvPicPr>
                  <pic:blipFill>
                    <a:blip r:embed="rId13"/>
                    <a:stretch>
                      <a:fillRect/>
                    </a:stretch>
                  </pic:blipFill>
                  <pic:spPr>
                    <a:xfrm>
                      <a:off x="0" y="0"/>
                      <a:ext cx="5029200" cy="2581383"/>
                    </a:xfrm>
                    <a:prstGeom prst="rect"/>
                  </pic:spPr>
                </pic:pic>
              </a:graphicData>
            </a:graphic>
          </wp:inline>
        </w:drawing>
      </w:r>
    </w:p>
    <w:p>
      <w:pPr>
        <w:pStyle w:val="Heading2"/>
      </w:pPr>
      <w:r>
        <w:rPr>
          <w:rFonts w:ascii="微软雅黑" w:hAnsi="微软雅黑"/>
        </w:rPr>
        <w:t>HyperAuto V1</w:t>
      </w:r>
    </w:p>
    <w:p>
      <w:pPr>
        <w:spacing w:line="360" w:lineRule="auto" w:after="120"/>
      </w:pPr>
      <w:r>
        <w:rPr>
          <w:rFonts w:ascii="微软雅黑" w:hAnsi="微软雅黑"/>
          <w:sz w:val="21"/>
        </w:rPr>
        <w:t>HyperAuto V1 支持广泛的 ERP 和 CRM 源系统，并包含全面的功能，例如通过</w:t>
      </w:r>
      <w:r>
        <w:rPr>
          <w:rFonts w:ascii="微软雅黑" w:hAnsi="微软雅黑"/>
          <w:b/>
          <w:sz w:val="21"/>
        </w:rPr>
        <w:t>派生元素</w:t>
      </w:r>
      <w:r>
        <w:rPr>
          <w:rFonts w:ascii="微软雅黑" w:hAnsi="微软雅黑"/>
          <w:sz w:val="21"/>
        </w:rPr>
        <w:t>实现的内置智能和自动</w:t>
      </w:r>
      <w:r>
        <w:rPr>
          <w:rFonts w:ascii="微软雅黑" w:hAnsi="微软雅黑"/>
          <w:b/>
          <w:sz w:val="21"/>
        </w:rPr>
        <w:t>Ontology 创建</w:t>
      </w:r>
      <w:r>
        <w:rPr>
          <w:rFonts w:ascii="微软雅黑" w:hAnsi="微软雅黑"/>
          <w:sz w:val="21"/>
        </w:rPr>
        <w:t>。V1 将继续可用并受到支持，直到所有源类型和必要功能在 HyperAuto V2 中可用。</w:t>
      </w:r>
    </w:p>
    <w:p>
      <w:pPr>
        <w:spacing w:line="360" w:lineRule="auto" w:after="120"/>
      </w:pPr>
      <w:r>
        <w:rPr>
          <w:rFonts w:ascii="微软雅黑" w:hAnsi="微软雅黑"/>
          <w:sz w:val="21"/>
        </w:rPr>
        <w:t>对 HyperAuto V1 的更新将提前通知。</w:t>
      </w:r>
    </w:p>
    <w:p>
      <w:pPr>
        <w:spacing w:line="360" w:lineRule="auto" w:after="120"/>
      </w:pPr>
      <w:r>
        <w:rPr>
          <w:rFonts w:ascii="微软雅黑" w:hAnsi="微软雅黑"/>
          <w:sz w:val="21"/>
        </w:rPr>
        <w:t xml:space="preserve">更多信息，请参阅 </w:t>
      </w:r>
      <w:r>
        <w:rPr>
          <w:rFonts w:ascii="微软雅黑" w:hAnsi="微软雅黑"/>
          <w:color w:val="0066CC"/>
          <w:sz w:val="21"/>
          <w:u w:val="single"/>
        </w:rPr>
        <w:t>HyperAuto V1 文档</w:t>
      </w:r>
      <w:r>
        <w:rPr>
          <w:rFonts w:ascii="微软雅黑" w:hAnsi="微软雅黑"/>
          <w:sz w:val="21"/>
        </w:rPr>
        <w:t>。</w:t>
      </w:r>
    </w:p>
    <w:p>
      <w:r>
        <w:br w:type="page"/>
      </w:r>
    </w:p>
    <w:p>
      <w:pPr>
        <w:pStyle w:val="Heading1"/>
      </w:pPr>
      <w:r>
        <w:rPr>
          <w:rFonts w:ascii="微软雅黑" w:hAnsi="微软雅黑"/>
        </w:rPr>
        <w:t>HyperAuto中的AIP功能</w:t>
      </w:r>
    </w:p>
    <w:p>
      <w:pPr>
        <w:spacing w:line="360" w:lineRule="auto" w:after="120"/>
      </w:pPr>
      <w:r>
        <w:rPr>
          <w:rFonts w:ascii="微软雅黑" w:hAnsi="微软雅黑"/>
          <w:sz w:val="21"/>
        </w:rPr>
        <w:t># HyperAuto中的AIP功能</w:t>
      </w:r>
    </w:p>
    <w:p>
      <w:pPr>
        <w:spacing w:line="360" w:lineRule="auto" w:after="120"/>
      </w:pPr>
      <w:r>
        <w:rPr>
          <w:rFonts w:ascii="微软雅黑" w:hAnsi="微软雅黑"/>
          <w:sz w:val="21"/>
        </w:rPr>
        <w:t>您可以在HyperAuto中使用以下由AIP驱动的功能。</w:t>
      </w:r>
    </w:p>
    <w:p>
      <w:pPr>
        <w:pStyle w:val="Heading2"/>
      </w:pPr>
      <w:r>
        <w:rPr>
          <w:rFonts w:ascii="微软雅黑" w:hAnsi="微软雅黑"/>
        </w:rPr>
        <w:t>输入建议</w:t>
      </w:r>
    </w:p>
    <w:p>
      <w:pPr>
        <w:spacing w:line="360" w:lineRule="auto" w:after="120"/>
      </w:pPr>
      <w:r>
        <w:rPr>
          <w:rFonts w:ascii="微软雅黑" w:hAnsi="微软雅黑"/>
          <w:sz w:val="21"/>
        </w:rPr>
        <w:t>AIP Assist可以在相应的数据源（及子系统）中建议与工作流相关的输入表，并提供每个输入为何相关以及如何使用的解释。</w:t>
      </w:r>
    </w:p>
    <w:p>
      <w:pPr>
        <w:spacing w:line="360" w:lineRule="auto" w:after="120"/>
      </w:pPr>
      <w:r>
        <w:rPr>
          <w:rFonts w:ascii="微软雅黑" w:hAnsi="微软雅黑"/>
          <w:sz w:val="21"/>
        </w:rPr>
        <w:t>要访问此功能，请导航到</w:t>
      </w:r>
      <w:r>
        <w:rPr>
          <w:rFonts w:ascii="微软雅黑" w:hAnsi="微软雅黑"/>
          <w:b/>
          <w:sz w:val="21"/>
        </w:rPr>
        <w:t>输入配置</w:t>
      </w:r>
      <w:r>
        <w:rPr>
          <w:rFonts w:ascii="微软雅黑" w:hAnsi="微软雅黑"/>
          <w:sz w:val="21"/>
        </w:rPr>
        <w:t>页面并选择</w:t>
      </w:r>
      <w:r>
        <w:rPr>
          <w:rFonts w:ascii="微软雅黑" w:hAnsi="微软雅黑"/>
          <w:b/>
          <w:sz w:val="21"/>
        </w:rPr>
        <w:t>建议</w:t>
      </w:r>
      <w:r>
        <w:rPr>
          <w:rFonts w:ascii="微软雅黑" w:hAnsi="微软雅黑"/>
          <w:sz w:val="21"/>
        </w:rPr>
        <w:t>，然后输入对工作流的全面描述作为AIP Assist的提示。</w:t>
      </w:r>
    </w:p>
    <w:p>
      <w:pPr>
        <w:spacing w:after="40"/>
        <w:jc w:val="center"/>
      </w:pPr>
      <w:r>
        <w:rPr>
          <w:i/>
          <w:color w:val="646464"/>
          <w:sz w:val="18"/>
        </w:rPr>
        <w:t>图：AIP的建议表工作流</w:t>
      </w:r>
    </w:p>
    <w:p>
      <w:pPr>
        <w:spacing w:before="120" w:after="240"/>
        <w:jc w:val="center"/>
      </w:pPr>
      <w:r>
        <w:drawing>
          <wp:inline xmlns:a="http://schemas.openxmlformats.org/drawingml/2006/main" xmlns:pic="http://schemas.openxmlformats.org/drawingml/2006/picture">
            <wp:extent cx="5029200" cy="2581383"/>
            <wp:docPr id="6" name="Picture 6"/>
            <wp:cNvGraphicFramePr>
              <a:graphicFrameLocks noChangeAspect="1"/>
            </wp:cNvGraphicFramePr>
            <a:graphic>
              <a:graphicData uri="http://schemas.openxmlformats.org/drawingml/2006/picture">
                <pic:pic>
                  <pic:nvPicPr>
                    <pic:cNvPr id="0" name="hyperauto-v2-wizard-input-config-suggest.png"/>
                    <pic:cNvPicPr/>
                  </pic:nvPicPr>
                  <pic:blipFill>
                    <a:blip r:embed="rId14"/>
                    <a:stretch>
                      <a:fillRect/>
                    </a:stretch>
                  </pic:blipFill>
                  <pic:spPr>
                    <a:xfrm>
                      <a:off x="0" y="0"/>
                      <a:ext cx="5029200" cy="2581383"/>
                    </a:xfrm>
                    <a:prstGeom prst="rect"/>
                  </pic:spPr>
                </pic:pic>
              </a:graphicData>
            </a:graphic>
          </wp:inline>
        </w:drawing>
      </w:r>
    </w:p>
    <w:p>
      <w:r>
        <w:br w:type="page"/>
      </w:r>
    </w:p>
    <w:p>
      <w:pPr>
        <w:pStyle w:val="Heading1"/>
      </w:pPr>
      <w:r>
        <w:rPr>
          <w:rFonts w:ascii="微软雅黑" w:hAnsi="微软雅黑"/>
        </w:rPr>
        <w:t>HyperAuto V2 架构</w:t>
      </w:r>
    </w:p>
    <w:p>
      <w:pPr>
        <w:spacing w:line="360" w:lineRule="auto" w:after="120"/>
      </w:pPr>
      <w:r>
        <w:rPr>
          <w:rFonts w:ascii="微软雅黑" w:hAnsi="微软雅黑"/>
          <w:sz w:val="21"/>
        </w:rPr>
        <w:t># HyperAuto V2 架构</w:t>
      </w:r>
    </w:p>
    <w:p>
      <w:pPr>
        <w:spacing w:line="360" w:lineRule="auto" w:after="120"/>
      </w:pPr>
      <w:r>
        <w:rPr>
          <w:rFonts w:ascii="微软雅黑" w:hAnsi="微软雅黑"/>
          <w:sz w:val="21"/>
        </w:rPr>
        <w:t xml:space="preserve">本页面描述了 HyperAuto V2 的架构。有关 HyperAuto V1 架构的描述，请访问 </w:t>
      </w:r>
      <w:r>
        <w:rPr>
          <w:rFonts w:ascii="微软雅黑" w:hAnsi="微软雅黑"/>
          <w:color w:val="0066CC"/>
          <w:sz w:val="21"/>
          <w:u w:val="single"/>
        </w:rPr>
        <w:t>HyperAuto V1 概述</w:t>
      </w:r>
      <w:r>
        <w:rPr>
          <w:rFonts w:ascii="微软雅黑" w:hAnsi="微软雅黑"/>
          <w:sz w:val="21"/>
        </w:rPr>
        <w:t>。</w:t>
      </w:r>
    </w:p>
    <w:p>
      <w:pPr>
        <w:spacing w:line="360" w:lineRule="auto" w:after="120"/>
      </w:pPr>
      <w:r>
        <w:rPr>
          <w:rFonts w:ascii="微软雅黑" w:hAnsi="微软雅黑"/>
          <w:sz w:val="21"/>
        </w:rPr>
        <w:t>HyperAuto V2 围绕数据集成工作流的三个主要组件进行编排和自动化——</w:t>
      </w:r>
      <w:r>
        <w:rPr>
          <w:rFonts w:ascii="微软雅黑" w:hAnsi="微软雅黑"/>
          <w:color w:val="0066CC"/>
          <w:sz w:val="21"/>
          <w:u w:val="single"/>
        </w:rPr>
        <w:t>数据同步</w:t>
      </w:r>
      <w:r>
        <w:rPr>
          <w:rFonts w:ascii="微软雅黑" w:hAnsi="微软雅黑"/>
          <w:sz w:val="21"/>
        </w:rPr>
        <w:t>、</w:t>
      </w:r>
      <w:r>
        <w:rPr>
          <w:rFonts w:ascii="微软雅黑" w:hAnsi="微软雅黑"/>
          <w:color w:val="0066CC"/>
          <w:sz w:val="21"/>
          <w:u w:val="single"/>
        </w:rPr>
        <w:t>构建器管道</w:t>
      </w:r>
      <w:r>
        <w:rPr>
          <w:rFonts w:ascii="微软雅黑" w:hAnsi="微软雅黑"/>
          <w:sz w:val="21"/>
        </w:rPr>
        <w:t>和</w:t>
      </w:r>
      <w:r>
        <w:rPr>
          <w:rFonts w:ascii="微软雅黑" w:hAnsi="微软雅黑"/>
          <w:color w:val="0066CC"/>
          <w:sz w:val="21"/>
          <w:u w:val="single"/>
        </w:rPr>
        <w:t>Ontology</w:t>
      </w:r>
      <w:r>
        <w:rPr>
          <w:rFonts w:ascii="微软雅黑" w:hAnsi="微软雅黑"/>
          <w:sz w:val="21"/>
        </w:rPr>
        <w:t>，以便自动从支持的源生成可直接使用的输出。</w:t>
      </w:r>
    </w:p>
    <w:p>
      <w:pPr>
        <w:spacing w:line="360" w:lineRule="auto" w:after="120"/>
      </w:pPr>
      <w:r>
        <w:rPr>
          <w:rFonts w:ascii="微软雅黑" w:hAnsi="微软雅黑"/>
          <w:sz w:val="21"/>
        </w:rPr>
        <w:t>HyperAuto 利用数据源的元数据，实时查询源以推断同步应该如何搭建，应用什么变换逻辑，以及如何设计适当的 Ontology。</w:t>
      </w:r>
    </w:p>
    <w:p>
      <w:pPr>
        <w:spacing w:line="360" w:lineRule="auto" w:after="120"/>
      </w:pPr>
      <w:r>
        <w:rPr>
          <w:rFonts w:ascii="微软雅黑" w:hAnsi="微软雅黑"/>
          <w:sz w:val="21"/>
        </w:rPr>
        <w:t>HyperAuto 管道指的是由单个 HyperAuto 实例管理的所有资源，从同步到 Object。每个管道都以用户提供的源表列表为输入，将其同步到 Foundry（如果需要）并将其转换为有价值的、可直接使用的输出数据集和（非必填）</w:t>
      </w:r>
      <w:r>
        <w:rPr>
          <w:rFonts w:ascii="微软雅黑" w:hAnsi="微软雅黑"/>
          <w:color w:val="0066CC"/>
          <w:sz w:val="21"/>
          <w:u w:val="single"/>
        </w:rPr>
        <w:t>Ontology Object</w:t>
      </w:r>
      <w:r>
        <w:rPr>
          <w:rFonts w:ascii="微软雅黑" w:hAnsi="微软雅黑"/>
          <w:sz w:val="21"/>
        </w:rPr>
        <w:t>。用户可以为每个源创建多个 HyperAuto 管道，以满足其个人需求。</w:t>
      </w:r>
    </w:p>
    <w:p>
      <w:pPr>
        <w:spacing w:after="40"/>
        <w:jc w:val="center"/>
      </w:pPr>
      <w:r>
        <w:rPr>
          <w:i/>
          <w:color w:val="646464"/>
          <w:sz w:val="18"/>
        </w:rPr>
        <w:t>图：HyperAuto V2 的架构图</w:t>
      </w:r>
    </w:p>
    <w:p>
      <w:pPr>
        <w:spacing w:before="120" w:after="240"/>
        <w:jc w:val="center"/>
      </w:pPr>
      <w:r>
        <w:drawing>
          <wp:inline xmlns:a="http://schemas.openxmlformats.org/drawingml/2006/main" xmlns:pic="http://schemas.openxmlformats.org/drawingml/2006/picture">
            <wp:extent cx="5029200" cy="1858617"/>
            <wp:docPr id="7" name="Picture 7"/>
            <wp:cNvGraphicFramePr>
              <a:graphicFrameLocks noChangeAspect="1"/>
            </wp:cNvGraphicFramePr>
            <a:graphic>
              <a:graphicData uri="http://schemas.openxmlformats.org/drawingml/2006/picture">
                <pic:pic>
                  <pic:nvPicPr>
                    <pic:cNvPr id="0" name="hyperauto-v2-architecture-graph.png"/>
                    <pic:cNvPicPr/>
                  </pic:nvPicPr>
                  <pic:blipFill>
                    <a:blip r:embed="rId15"/>
                    <a:stretch>
                      <a:fillRect/>
                    </a:stretch>
                  </pic:blipFill>
                  <pic:spPr>
                    <a:xfrm>
                      <a:off x="0" y="0"/>
                      <a:ext cx="5029200" cy="1858617"/>
                    </a:xfrm>
                    <a:prstGeom prst="rect"/>
                  </pic:spPr>
                </pic:pic>
              </a:graphicData>
            </a:graphic>
          </wp:inline>
        </w:drawing>
      </w:r>
    </w:p>
    <w:p>
      <w:pPr>
        <w:pStyle w:val="Heading2"/>
      </w:pPr>
      <w:r>
        <w:rPr>
          <w:rFonts w:ascii="微软雅黑" w:hAnsi="微软雅黑"/>
        </w:rPr>
        <w:t>数据同步</w:t>
      </w:r>
    </w:p>
    <w:p>
      <w:pPr>
        <w:spacing w:line="360" w:lineRule="auto" w:after="120"/>
      </w:pPr>
      <w:r>
        <w:rPr>
          <w:rFonts w:ascii="微软雅黑" w:hAnsi="微软雅黑"/>
          <w:sz w:val="21"/>
        </w:rPr>
        <w:t>当不存在与源的直接连接时，HyperAuto 也支持使用静态文件，在这种情况下，本节不适用。请参阅</w:t>
      </w:r>
      <w:r>
        <w:rPr>
          <w:rFonts w:ascii="微软雅黑" w:hAnsi="微软雅黑"/>
          <w:color w:val="0066CC"/>
          <w:sz w:val="21"/>
          <w:u w:val="single"/>
        </w:rPr>
        <w:t>基于文件夹的 SAP 文档</w:t>
      </w:r>
      <w:r>
        <w:rPr>
          <w:rFonts w:ascii="微软雅黑" w:hAnsi="微软雅黑"/>
          <w:sz w:val="21"/>
        </w:rPr>
        <w:t>以了解更多信息。</w:t>
      </w:r>
    </w:p>
    <w:p>
      <w:pPr>
        <w:spacing w:line="360" w:lineRule="auto" w:after="120"/>
      </w:pPr>
      <w:r>
        <w:rPr>
          <w:rFonts w:ascii="微软雅黑" w:hAnsi="微软雅黑"/>
          <w:sz w:val="21"/>
        </w:rPr>
        <w:t>HyperAuto 提供对源上所有可见表的访问权限。如果用户选择的源表未映射到现有数据同步，则将自动生成新的数据同步。</w:t>
      </w:r>
    </w:p>
    <w:p>
      <w:pPr>
        <w:spacing w:line="360" w:lineRule="auto" w:after="120"/>
      </w:pPr>
      <w:r>
        <w:rPr>
          <w:rFonts w:ascii="微软雅黑" w:hAnsi="微软雅黑"/>
          <w:sz w:val="21"/>
        </w:rPr>
        <w:t>如果所选源表已经存在一个或多个数据同步，则默认会选择最新的同步。您可以在</w:t>
      </w:r>
      <w:r>
        <w:rPr>
          <w:rFonts w:ascii="微软雅黑" w:hAnsi="微软雅黑"/>
          <w:b/>
          <w:sz w:val="21"/>
        </w:rPr>
        <w:t>输入配置</w:t>
      </w:r>
      <w:r>
        <w:rPr>
          <w:rFonts w:ascii="微软雅黑" w:hAnsi="微软雅黑"/>
          <w:sz w:val="21"/>
        </w:rPr>
        <w:t>页面上通过悬停在</w:t>
      </w:r>
      <w:r>
        <w:rPr>
          <w:rFonts w:ascii="微软雅黑" w:hAnsi="微软雅黑"/>
          <w:b/>
          <w:sz w:val="21"/>
        </w:rPr>
        <w:t>配置输入表</w:t>
      </w:r>
      <w:r>
        <w:rPr>
          <w:rFonts w:ascii="微软雅黑" w:hAnsi="微软雅黑"/>
          <w:sz w:val="21"/>
        </w:rPr>
        <w:t>按钮上来更改该选择。在那里，可以选择使用不同的现有同步或选择创建新的同步。</w:t>
      </w:r>
    </w:p>
    <w:p>
      <w:pPr>
        <w:spacing w:line="360" w:lineRule="auto" w:after="120"/>
      </w:pPr>
      <w:r>
        <w:rPr>
          <w:rFonts w:ascii="微软雅黑" w:hAnsi="微软雅黑"/>
          <w:sz w:val="21"/>
        </w:rPr>
        <w:t>根据数据规模，如果 HyperAuto 创建了新的数据同步，生成可能需要更长时间。这是因为在 HyperAuto 的其他流程（如构建器管道生成）之前，数据同步需要进行初始运行。</w:t>
      </w:r>
    </w:p>
    <w:p>
      <w:pPr>
        <w:spacing w:after="40"/>
        <w:jc w:val="center"/>
      </w:pPr>
      <w:r>
        <w:rPr>
          <w:i/>
          <w:color w:val="646464"/>
          <w:sz w:val="18"/>
        </w:rPr>
        <w:t>图：HyperAuto 输入配置映射现有同步</w:t>
      </w:r>
    </w:p>
    <w:p>
      <w:pPr>
        <w:spacing w:before="120" w:after="240"/>
        <w:jc w:val="center"/>
      </w:pPr>
      <w:r>
        <w:drawing>
          <wp:inline xmlns:a="http://schemas.openxmlformats.org/drawingml/2006/main" xmlns:pic="http://schemas.openxmlformats.org/drawingml/2006/picture">
            <wp:extent cx="5029200" cy="3203312"/>
            <wp:docPr id="8" name="Picture 8"/>
            <wp:cNvGraphicFramePr>
              <a:graphicFrameLocks noChangeAspect="1"/>
            </wp:cNvGraphicFramePr>
            <a:graphic>
              <a:graphicData uri="http://schemas.openxmlformats.org/drawingml/2006/picture">
                <pic:pic>
                  <pic:nvPicPr>
                    <pic:cNvPr id="0" name="hyperauto-v2-map-existing-syncs.png"/>
                    <pic:cNvPicPr/>
                  </pic:nvPicPr>
                  <pic:blipFill>
                    <a:blip r:embed="rId16"/>
                    <a:stretch>
                      <a:fillRect/>
                    </a:stretch>
                  </pic:blipFill>
                  <pic:spPr>
                    <a:xfrm>
                      <a:off x="0" y="0"/>
                      <a:ext cx="5029200" cy="3203312"/>
                    </a:xfrm>
                    <a:prstGeom prst="rect"/>
                  </pic:spPr>
                </pic:pic>
              </a:graphicData>
            </a:graphic>
          </wp:inline>
        </w:drawing>
      </w:r>
    </w:p>
    <w:p>
      <w:pPr>
        <w:pStyle w:val="Heading2"/>
      </w:pPr>
      <w:r>
        <w:rPr>
          <w:rFonts w:ascii="微软雅黑" w:hAnsi="微软雅黑"/>
        </w:rPr>
        <w:t>数据变换（管道构建器）</w:t>
      </w:r>
    </w:p>
    <w:p>
      <w:pPr>
        <w:spacing w:line="360" w:lineRule="auto" w:after="120"/>
      </w:pPr>
      <w:r>
        <w:rPr>
          <w:rFonts w:ascii="微软雅黑" w:hAnsi="微软雅黑"/>
          <w:sz w:val="21"/>
        </w:rPr>
        <w:t>HyperAuto 管道内的数据变换允许将难以使用的源数据转换为经过清理、丰富的输出，可以立即用于分析和应用搭建。</w:t>
      </w:r>
    </w:p>
    <w:p>
      <w:pPr>
        <w:spacing w:line="360" w:lineRule="auto" w:after="120"/>
      </w:pPr>
      <w:r>
        <w:rPr>
          <w:rFonts w:ascii="微软雅黑" w:hAnsi="微软雅黑"/>
          <w:sz w:val="21"/>
        </w:rPr>
        <w:t>HyperAuto 管道由自动生成的</w:t>
      </w:r>
      <w:r>
        <w:rPr>
          <w:rFonts w:ascii="微软雅黑" w:hAnsi="微软雅黑"/>
          <w:color w:val="0066CC"/>
          <w:sz w:val="21"/>
          <w:u w:val="single"/>
        </w:rPr>
        <w:t>构建器管道</w:t>
      </w:r>
      <w:r>
        <w:rPr>
          <w:rFonts w:ascii="微软雅黑" w:hAnsi="微软雅黑"/>
          <w:sz w:val="21"/>
        </w:rPr>
        <w:t>提供支持，这是 Foundry 内进行数据变换的主要方法。</w:t>
      </w:r>
    </w:p>
    <w:p>
      <w:pPr>
        <w:spacing w:line="360" w:lineRule="auto" w:after="120"/>
      </w:pPr>
      <w:r>
        <w:rPr>
          <w:rFonts w:ascii="微软雅黑" w:hAnsi="微软雅黑"/>
          <w:sz w:val="21"/>
        </w:rPr>
        <w:t>HyperAuto 根据源类型和用户的偏好动态生成有见地的变换逻辑。用户可以通过从 HyperAuto 管道概述页面选择</w:t>
      </w:r>
      <w:r>
        <w:rPr>
          <w:rFonts w:ascii="微软雅黑" w:hAnsi="微软雅黑"/>
          <w:b/>
          <w:sz w:val="21"/>
        </w:rPr>
        <w:t>查看管道</w:t>
      </w:r>
      <w:r>
        <w:rPr>
          <w:rFonts w:ascii="微软雅黑" w:hAnsi="微软雅黑"/>
          <w:sz w:val="21"/>
        </w:rPr>
        <w:t>来查看此构建器管道。对该管道的编辑通过</w:t>
      </w:r>
      <w:r>
        <w:rPr>
          <w:rFonts w:ascii="微软雅黑" w:hAnsi="微软雅黑"/>
          <w:color w:val="0066CC"/>
          <w:sz w:val="21"/>
          <w:u w:val="single"/>
        </w:rPr>
        <w:t>提案</w:t>
      </w:r>
      <w:r>
        <w:rPr>
          <w:rFonts w:ascii="微软雅黑" w:hAnsi="微软雅黑"/>
          <w:sz w:val="21"/>
        </w:rPr>
        <w:t>更改 HyperAuto 配置来进行。</w:t>
      </w:r>
    </w:p>
    <w:p>
      <w:pPr>
        <w:spacing w:line="360" w:lineRule="auto" w:after="120"/>
      </w:pPr>
      <w:r>
        <w:rPr>
          <w:rFonts w:ascii="微软雅黑" w:hAnsi="微软雅黑"/>
          <w:sz w:val="21"/>
        </w:rPr>
        <w:t>HyperAuto 中可用的变换功能类型如下：</w:t>
      </w:r>
    </w:p>
    <w:p>
      <w:pPr>
        <w:pStyle w:val="ListBullet"/>
        <w:spacing w:line="360" w:lineRule="auto" w:after="120"/>
      </w:pPr>
      <w:r>
        <w:rPr>
          <w:rFonts w:ascii="微软雅黑" w:hAnsi="微软雅黑"/>
          <w:sz w:val="21"/>
        </w:rPr>
        <w:t>\*\*清理：\*\*源系统通常导出带有常见“清洁”问题的数据，例如数据类型不正确、空/空值处理不当或字符串值中不需要的空白。HyperAuto 提供有见地的变换选项来修复这些问题（以及更多）。</w:t>
      </w:r>
    </w:p>
    <w:p>
      <w:pPr>
        <w:pStyle w:val="ListBullet"/>
        <w:spacing w:line="360" w:lineRule="auto" w:after="120"/>
      </w:pPr>
      <w:r>
        <w:rPr>
          <w:rFonts w:ascii="微软雅黑" w:hAnsi="微软雅黑"/>
          <w:sz w:val="21"/>
        </w:rPr>
        <w:t>\*\*重命名：\*\*通过使用源的元数据，HyperAuto 可以将输出表和列重命名为描述性和自解释性，而不是坚持使用通常不可读的模式。</w:t>
      </w:r>
    </w:p>
    <w:p>
      <w:pPr>
        <w:pStyle w:val="ListBullet"/>
        <w:spacing w:line="360" w:lineRule="auto" w:after="120"/>
      </w:pPr>
      <w:r>
        <w:rPr>
          <w:rFonts w:ascii="微软雅黑" w:hAnsi="微软雅黑"/>
          <w:sz w:val="21"/>
        </w:rPr>
        <w:t>\*\*合并：\*\*源系统通常将相关信息（如元数据）存储在单独的表中，例如在符合“规范”数据模型时。HyperAuto 使用其对源数据模型的理解来合并这些表，提供非规范化的丰富输出数据集，便于分析并为 Ontology 提供强大的基础。</w:t>
      </w:r>
    </w:p>
    <w:p>
      <w:pPr>
        <w:pStyle w:val="ListBullet"/>
        <w:spacing w:line="360" w:lineRule="auto" w:after="120"/>
      </w:pPr>
      <w:r>
        <w:rPr>
          <w:rFonts w:ascii="微软雅黑" w:hAnsi="微软雅黑"/>
          <w:sz w:val="21"/>
        </w:rPr>
        <w:t>\*\*筛选：\*\*不需要的行（如重复项）可以由 HyperAuto 自动筛选掉，例如去重更改数据捕获输入。</w:t>
      </w:r>
    </w:p>
    <w:p>
      <w:pPr>
        <w:spacing w:line="360" w:lineRule="auto" w:after="120"/>
      </w:pPr>
      <w:r>
        <w:rPr>
          <w:rFonts w:ascii="微软雅黑" w:hAnsi="微软雅黑"/>
          <w:sz w:val="21"/>
        </w:rPr>
        <w:t>支持</w:t>
      </w:r>
      <w:r>
        <w:rPr>
          <w:rFonts w:ascii="微软雅黑" w:hAnsi="微软雅黑"/>
          <w:b/>
          <w:sz w:val="21"/>
        </w:rPr>
        <w:t>批处理</w:t>
      </w:r>
      <w:r>
        <w:rPr>
          <w:rFonts w:ascii="微软雅黑" w:hAnsi="微软雅黑"/>
          <w:sz w:val="21"/>
        </w:rPr>
        <w:t>和实时</w:t>
      </w:r>
      <w:r>
        <w:rPr>
          <w:rFonts w:ascii="微软雅黑" w:hAnsi="微软雅黑"/>
          <w:b/>
          <w:sz w:val="21"/>
        </w:rPr>
        <w:t>流媒体</w:t>
      </w:r>
      <w:r>
        <w:rPr>
          <w:rFonts w:ascii="微软雅黑" w:hAnsi="微软雅黑"/>
          <w:sz w:val="21"/>
        </w:rPr>
        <w:t>管道模式，请参阅</w:t>
      </w:r>
      <w:r>
        <w:rPr>
          <w:rFonts w:ascii="微软雅黑" w:hAnsi="微软雅黑"/>
          <w:color w:val="0066CC"/>
          <w:sz w:val="21"/>
          <w:u w:val="single"/>
        </w:rPr>
        <w:t>配置选项</w:t>
      </w:r>
      <w:r>
        <w:rPr>
          <w:rFonts w:ascii="微软雅黑" w:hAnsi="微软雅黑"/>
          <w:sz w:val="21"/>
        </w:rPr>
        <w:t>以了解更多详细信息。</w:t>
      </w:r>
    </w:p>
    <w:p>
      <w:pPr>
        <w:spacing w:after="40"/>
        <w:jc w:val="center"/>
      </w:pPr>
      <w:r>
        <w:rPr>
          <w:i/>
          <w:color w:val="646464"/>
          <w:sz w:val="18"/>
        </w:rPr>
        <w:t>图：生成的管道构建器图</w:t>
      </w:r>
    </w:p>
    <w:p>
      <w:pPr>
        <w:spacing w:before="120" w:after="240"/>
        <w:jc w:val="center"/>
      </w:pPr>
      <w:r>
        <w:drawing>
          <wp:inline xmlns:a="http://schemas.openxmlformats.org/drawingml/2006/main" xmlns:pic="http://schemas.openxmlformats.org/drawingml/2006/picture">
            <wp:extent cx="5029200" cy="2581383"/>
            <wp:docPr id="9" name="Picture 9"/>
            <wp:cNvGraphicFramePr>
              <a:graphicFrameLocks noChangeAspect="1"/>
            </wp:cNvGraphicFramePr>
            <a:graphic>
              <a:graphicData uri="http://schemas.openxmlformats.org/drawingml/2006/picture">
                <pic:pic>
                  <pic:nvPicPr>
                    <pic:cNvPr id="0" name="hyperauto-v2-builder-pipeline.png"/>
                    <pic:cNvPicPr/>
                  </pic:nvPicPr>
                  <pic:blipFill>
                    <a:blip r:embed="rId13"/>
                    <a:stretch>
                      <a:fillRect/>
                    </a:stretch>
                  </pic:blipFill>
                  <pic:spPr>
                    <a:xfrm>
                      <a:off x="0" y="0"/>
                      <a:ext cx="5029200" cy="2581383"/>
                    </a:xfrm>
                    <a:prstGeom prst="rect"/>
                  </pic:spPr>
                </pic:pic>
              </a:graphicData>
            </a:graphic>
          </wp:inline>
        </w:drawing>
      </w:r>
    </w:p>
    <w:p>
      <w:pPr>
        <w:pStyle w:val="Heading2"/>
      </w:pPr>
      <w:r>
        <w:rPr>
          <w:rFonts w:ascii="微软雅黑" w:hAnsi="微软雅黑"/>
        </w:rPr>
        <w:t>Ontology</w:t>
      </w:r>
    </w:p>
    <w:p>
      <w:pPr>
        <w:spacing w:line="360" w:lineRule="auto" w:after="120"/>
      </w:pPr>
      <w:r>
        <w:rPr>
          <w:rFonts w:ascii="微软雅黑" w:hAnsi="微软雅黑"/>
          <w:sz w:val="21"/>
        </w:rPr>
        <w:t>HyperAuto 可以使用源的数据模型根据生成的输出数据集动态生成</w:t>
      </w:r>
      <w:r>
        <w:rPr>
          <w:rFonts w:ascii="微软雅黑" w:hAnsi="微软雅黑"/>
          <w:color w:val="0066CC"/>
          <w:sz w:val="21"/>
          <w:u w:val="single"/>
        </w:rPr>
        <w:t>Ontology</w:t>
      </w:r>
      <w:r>
        <w:rPr>
          <w:rFonts w:ascii="微软雅黑" w:hAnsi="微软雅黑"/>
          <w:sz w:val="21"/>
        </w:rPr>
        <w:t>，包括定义对象之间的语义链接。</w:t>
      </w:r>
    </w:p>
    <w:p>
      <w:pPr>
        <w:spacing w:line="360" w:lineRule="auto" w:after="120"/>
      </w:pPr>
      <w:r>
        <w:rPr>
          <w:rFonts w:ascii="微软雅黑" w:hAnsi="微软雅黑"/>
          <w:sz w:val="21"/>
        </w:rPr>
        <w:t>启用此设置可以让您从新的（支持的）源到完全定义的 Ontology 只需几分钟，无需人工干预。</w:t>
      </w:r>
    </w:p>
    <w:p>
      <w:pPr>
        <w:spacing w:line="360" w:lineRule="auto" w:after="120"/>
      </w:pPr>
      <w:r>
        <w:rPr>
          <w:rFonts w:ascii="微软雅黑" w:hAnsi="微软雅黑"/>
          <w:sz w:val="21"/>
        </w:rPr>
        <w:t>如果您对该功能感兴趣，请联系您的 Palantir 代表。</w:t>
      </w:r>
    </w:p>
    <w:p>
      <w:pPr>
        <w:pStyle w:val="Heading2"/>
      </w:pPr>
      <w:r>
        <w:rPr>
          <w:rFonts w:ascii="微软雅黑" w:hAnsi="微软雅黑"/>
        </w:rPr>
        <w:t>资源管理</w:t>
      </w:r>
    </w:p>
    <w:p>
      <w:pPr>
        <w:spacing w:line="360" w:lineRule="auto" w:after="120"/>
      </w:pPr>
      <w:r>
        <w:rPr>
          <w:rFonts w:ascii="微软雅黑" w:hAnsi="微软雅黑"/>
          <w:sz w:val="21"/>
        </w:rPr>
        <w:t>HyperAuto 管道设计为完全控制其创建的任何资源，使用户能够持续获得系统的好处和升级，包括性能升级和错误修复。 这些管道的设计也使得很容易对已经生成的资源进行微调，例如在管道中添加新的变换步骤或输入。</w:t>
      </w:r>
    </w:p>
    <w:p>
      <w:pPr>
        <w:spacing w:line="360" w:lineRule="auto" w:after="120"/>
      </w:pPr>
      <w:r>
        <w:rPr>
          <w:rFonts w:ascii="微软雅黑" w:hAnsi="微软雅黑"/>
          <w:sz w:val="21"/>
        </w:rPr>
        <w:t>对基础资源（例如同步或构建器管道）的任何编辑必须通过 HyperAuto 应用程序进行管理，以避免更改冲突。</w:t>
      </w:r>
    </w:p>
    <w:p>
      <w:pPr>
        <w:spacing w:line="360" w:lineRule="auto" w:after="120"/>
      </w:pPr>
      <w:r>
        <w:rPr>
          <w:rFonts w:ascii="微软雅黑" w:hAnsi="微软雅黑"/>
          <w:sz w:val="21"/>
        </w:rPr>
        <w:t>如果需要，删除 HyperAuto 管道资源将移除其对相应构建器管道的所有权，允许正常直接编辑构建器管道。</w:t>
      </w:r>
    </w:p>
    <w:p>
      <w:r>
        <w:br w:type="page"/>
      </w:r>
    </w:p>
    <w:p>
      <w:pPr>
        <w:pStyle w:val="Heading1"/>
      </w:pPr>
      <w:r>
        <w:rPr>
          <w:rFonts w:ascii="微软雅黑" w:hAnsi="微软雅黑"/>
        </w:rPr>
        <w:t>HyperAuto V2 配置选项</w:t>
      </w:r>
    </w:p>
    <w:p>
      <w:pPr>
        <w:spacing w:line="360" w:lineRule="auto" w:after="120"/>
      </w:pPr>
      <w:r>
        <w:rPr>
          <w:rFonts w:ascii="微软雅黑" w:hAnsi="微软雅黑"/>
          <w:sz w:val="21"/>
        </w:rPr>
        <w:t># HyperAuto V2 配置选项</w:t>
      </w:r>
    </w:p>
    <w:p>
      <w:pPr>
        <w:spacing w:line="360" w:lineRule="auto" w:after="120"/>
      </w:pPr>
      <w:r>
        <w:rPr>
          <w:rFonts w:ascii="微软雅黑" w:hAnsi="微软雅黑"/>
          <w:sz w:val="21"/>
        </w:rPr>
        <w:t>此页面描述了 HyperAuto V2 的配置选项。以下步骤构成了 HyperAuto V2 的配置过程：</w:t>
      </w:r>
    </w:p>
    <w:p>
      <w:pPr>
        <w:pStyle w:val="ListBullet"/>
        <w:spacing w:line="360" w:lineRule="auto" w:after="120"/>
      </w:pPr>
      <w:r>
        <w:rPr>
          <w:rFonts w:ascii="微软雅黑" w:hAnsi="微软雅黑"/>
          <w:color w:val="0066CC"/>
          <w:sz w:val="21"/>
          <w:u w:val="single"/>
        </w:rPr>
        <w:t>名称和位置</w:t>
      </w:r>
    </w:p>
    <w:p>
      <w:pPr>
        <w:pStyle w:val="ListBullet"/>
        <w:spacing w:line="360" w:lineRule="auto" w:after="120"/>
      </w:pPr>
      <w:r>
        <w:rPr>
          <w:rFonts w:ascii="微软雅黑" w:hAnsi="微软雅黑"/>
          <w:color w:val="0066CC"/>
          <w:sz w:val="21"/>
          <w:u w:val="single"/>
        </w:rPr>
        <w:t>源配置</w:t>
      </w:r>
    </w:p>
    <w:p>
      <w:pPr>
        <w:pStyle w:val="ListBullet"/>
        <w:spacing w:line="360" w:lineRule="auto" w:after="120"/>
      </w:pPr>
      <w:r>
        <w:rPr>
          <w:rFonts w:ascii="微软雅黑" w:hAnsi="微软雅黑"/>
          <w:color w:val="0066CC"/>
          <w:sz w:val="21"/>
          <w:u w:val="single"/>
        </w:rPr>
        <w:t>输入配置</w:t>
      </w:r>
    </w:p>
    <w:p>
      <w:pPr>
        <w:pStyle w:val="ListBullet"/>
        <w:spacing w:line="360" w:lineRule="auto" w:after="120"/>
      </w:pPr>
      <w:r>
        <w:rPr>
          <w:rFonts w:ascii="微软雅黑" w:hAnsi="微软雅黑"/>
          <w:color w:val="0066CC"/>
          <w:sz w:val="21"/>
          <w:u w:val="single"/>
        </w:rPr>
        <w:t>管道配置</w:t>
      </w:r>
    </w:p>
    <w:p>
      <w:pPr>
        <w:spacing w:line="360" w:lineRule="auto" w:after="120"/>
      </w:pPr>
      <w:r>
        <w:rPr>
          <w:rFonts w:ascii="微软雅黑" w:hAnsi="微软雅黑"/>
          <w:sz w:val="21"/>
        </w:rPr>
        <w:t>有关 HyperAuto V1 配置参考，请参阅</w:t>
      </w:r>
      <w:r>
        <w:rPr>
          <w:rFonts w:ascii="微软雅黑" w:hAnsi="微软雅黑"/>
          <w:color w:val="0066CC"/>
          <w:sz w:val="21"/>
          <w:u w:val="single"/>
        </w:rPr>
        <w:t>旧版文档</w:t>
      </w:r>
      <w:r>
        <w:rPr>
          <w:rFonts w:ascii="微软雅黑" w:hAnsi="微软雅黑"/>
          <w:sz w:val="21"/>
        </w:rPr>
        <w:t>。</w:t>
      </w:r>
    </w:p>
    <w:p>
      <w:pPr>
        <w:pStyle w:val="Heading2"/>
      </w:pPr>
      <w:r>
        <w:rPr>
          <w:rFonts w:ascii="微软雅黑" w:hAnsi="微软雅黑"/>
        </w:rPr>
        <w:t>名称和位置</w:t>
      </w:r>
    </w:p>
    <w:p>
      <w:pPr>
        <w:spacing w:line="360" w:lineRule="auto" w:after="120"/>
      </w:pPr>
      <w:r>
        <w:rPr>
          <w:rFonts w:ascii="微软雅黑" w:hAnsi="微软雅黑"/>
          <w:sz w:val="21"/>
        </w:rPr>
        <w:t>HyperAuto V2 配置向导的第一步是指定新管道的名称和 Foundry 文件系统中的所需文件夹位置。HyperAuto 管道资源和相关的输出数据集将在此文件夹中创建。</w:t>
      </w:r>
    </w:p>
    <w:p>
      <w:pPr>
        <w:pStyle w:val="Heading2"/>
      </w:pPr>
      <w:r>
        <w:rPr>
          <w:rFonts w:ascii="微软雅黑" w:hAnsi="微软雅黑"/>
        </w:rPr>
        <w:t>源配置</w:t>
      </w:r>
    </w:p>
    <w:p>
      <w:pPr>
        <w:spacing w:line="360" w:lineRule="auto" w:after="120"/>
      </w:pPr>
      <w:r>
        <w:rPr>
          <w:rFonts w:ascii="微软雅黑" w:hAnsi="微软雅黑"/>
          <w:sz w:val="21"/>
        </w:rPr>
        <w:t>HyperAuto V2 源配置页面帮助您选择源系统和数据摄取方法。</w:t>
      </w:r>
    </w:p>
    <w:p>
      <w:pPr>
        <w:spacing w:after="40"/>
        <w:jc w:val="center"/>
      </w:pPr>
      <w:r>
        <w:rPr>
          <w:i/>
          <w:color w:val="646464"/>
          <w:sz w:val="18"/>
        </w:rPr>
        <w:t>图：HyperAuto V2 源配置向导</w:t>
      </w:r>
    </w:p>
    <w:p>
      <w:pPr>
        <w:spacing w:before="120" w:after="240"/>
        <w:jc w:val="center"/>
      </w:pPr>
      <w:r>
        <w:drawing>
          <wp:inline xmlns:a="http://schemas.openxmlformats.org/drawingml/2006/main" xmlns:pic="http://schemas.openxmlformats.org/drawingml/2006/picture">
            <wp:extent cx="5029200" cy="2779471"/>
            <wp:docPr id="10" name="Picture 10"/>
            <wp:cNvGraphicFramePr>
              <a:graphicFrameLocks noChangeAspect="1"/>
            </wp:cNvGraphicFramePr>
            <a:graphic>
              <a:graphicData uri="http://schemas.openxmlformats.org/drawingml/2006/picture">
                <pic:pic>
                  <pic:nvPicPr>
                    <pic:cNvPr id="0" name="hyperauto-v2-wizard-2-source-config.png"/>
                    <pic:cNvPicPr/>
                  </pic:nvPicPr>
                  <pic:blipFill>
                    <a:blip r:embed="rId17"/>
                    <a:stretch>
                      <a:fillRect/>
                    </a:stretch>
                  </pic:blipFill>
                  <pic:spPr>
                    <a:xfrm>
                      <a:off x="0" y="0"/>
                      <a:ext cx="5029200" cy="2779471"/>
                    </a:xfrm>
                    <a:prstGeom prst="rect"/>
                  </pic:spPr>
                </pic:pic>
              </a:graphicData>
            </a:graphic>
          </wp:inline>
        </w:drawing>
      </w:r>
    </w:p>
    <w:p>
      <w:pPr>
        <w:pStyle w:val="Heading3"/>
      </w:pPr>
      <w:r>
        <w:rPr>
          <w:rFonts w:ascii="微软雅黑" w:hAnsi="微软雅黑"/>
        </w:rPr>
        <w:t>源系统</w:t>
      </w:r>
    </w:p>
    <w:p>
      <w:pPr>
        <w:spacing w:line="360" w:lineRule="auto" w:after="120"/>
      </w:pPr>
      <w:r>
        <w:rPr>
          <w:rFonts w:ascii="微软雅黑" w:hAnsi="微软雅黑"/>
          <w:sz w:val="21"/>
        </w:rPr>
        <w:t xml:space="preserve">此选项适用于用户必须在子系统之间选择的源（例如 </w:t>
      </w:r>
      <w:r>
        <w:rPr>
          <w:rFonts w:ascii="微软雅黑" w:hAnsi="微软雅黑"/>
          <w:color w:val="0066CC"/>
          <w:sz w:val="21"/>
          <w:u w:val="single"/>
        </w:rPr>
        <w:t>SAP 中的“上下文”</w:t>
      </w:r>
      <w:r>
        <w:rPr>
          <w:rFonts w:ascii="微软雅黑" w:hAnsi="微软雅黑"/>
          <w:sz w:val="21"/>
        </w:rPr>
        <w:t>）。子系统被定义为源中的配置，导致其自身的可用表和元数据集。因此，在子系统之间切换将完全更改其他可用配置，例如支持的</w:t>
      </w:r>
      <w:r>
        <w:rPr>
          <w:rFonts w:ascii="微软雅黑" w:hAnsi="微软雅黑"/>
          <w:color w:val="0066CC"/>
          <w:sz w:val="21"/>
          <w:u w:val="single"/>
        </w:rPr>
        <w:t>管道模式</w:t>
      </w:r>
      <w:r>
        <w:rPr>
          <w:rFonts w:ascii="微软雅黑" w:hAnsi="微软雅黑"/>
          <w:sz w:val="21"/>
        </w:rPr>
        <w:t>（批处理与流式处理）和在</w:t>
      </w:r>
      <w:r>
        <w:rPr>
          <w:rFonts w:ascii="微软雅黑" w:hAnsi="微软雅黑"/>
          <w:color w:val="0066CC"/>
          <w:sz w:val="21"/>
          <w:u w:val="single"/>
        </w:rPr>
        <w:t>**输入配置**</w:t>
      </w:r>
      <w:r>
        <w:rPr>
          <w:rFonts w:ascii="微软雅黑" w:hAnsi="微软雅黑"/>
          <w:sz w:val="21"/>
        </w:rPr>
        <w:t>页面上可供选择的表和现有同步。</w:t>
      </w:r>
    </w:p>
    <w:p>
      <w:pPr>
        <w:spacing w:line="360" w:lineRule="auto" w:after="120"/>
      </w:pPr>
      <w:r>
        <w:rPr>
          <w:rFonts w:ascii="微软雅黑" w:hAnsi="微软雅黑"/>
          <w:sz w:val="21"/>
        </w:rPr>
        <w:t>#### SAP 源系统</w:t>
      </w:r>
    </w:p>
    <w:p>
      <w:pPr>
        <w:spacing w:line="360" w:lineRule="auto" w:after="120"/>
      </w:pPr>
      <w:r>
        <w:rPr>
          <w:rFonts w:ascii="微软雅黑" w:hAnsi="微软雅黑"/>
          <w:sz w:val="21"/>
        </w:rPr>
        <w:t>将 Foundry 连接到 SAP 系统有三种主要的</w:t>
      </w:r>
      <w:r>
        <w:rPr>
          <w:rFonts w:ascii="微软雅黑" w:hAnsi="微软雅黑"/>
          <w:color w:val="0066CC"/>
          <w:sz w:val="21"/>
          <w:u w:val="single"/>
        </w:rPr>
        <w:t>架构模式</w:t>
      </w:r>
      <w:r>
        <w:rPr>
          <w:rFonts w:ascii="微软雅黑" w:hAnsi="微软雅黑"/>
          <w:sz w:val="21"/>
        </w:rPr>
        <w:t>：</w:t>
      </w:r>
    </w:p>
    <w:p>
      <w:pPr>
        <w:pStyle w:val="ListBullet"/>
        <w:spacing w:line="360" w:lineRule="auto" w:after="120"/>
      </w:pPr>
      <w:r>
        <w:rPr>
          <w:rFonts w:ascii="微软雅黑" w:hAnsi="微软雅黑"/>
          <w:b/>
          <w:sz w:val="21"/>
        </w:rPr>
        <w:t>直接连接：</w:t>
      </w:r>
      <w:r>
        <w:rPr>
          <w:rFonts w:ascii="微软雅黑" w:hAnsi="微软雅黑"/>
          <w:sz w:val="21"/>
        </w:rPr>
        <w:t xml:space="preserve"> 连接器安装在 ERP 系统本身的应用程序服务器上，提供对表的直接访问。</w:t>
      </w:r>
    </w:p>
    <w:p>
      <w:pPr>
        <w:pStyle w:val="ListBullet"/>
        <w:spacing w:line="360" w:lineRule="auto" w:after="120"/>
      </w:pPr>
      <w:r>
        <w:rPr>
          <w:rFonts w:ascii="微软雅黑" w:hAnsi="微软雅黑"/>
          <w:b/>
          <w:sz w:val="21"/>
        </w:rPr>
        <w:t>SLT：</w:t>
      </w:r>
      <w:r>
        <w:rPr>
          <w:rFonts w:ascii="微软雅黑" w:hAnsi="微软雅黑"/>
          <w:sz w:val="21"/>
        </w:rPr>
        <w:t xml:space="preserve"> 连接器安装在 SAP SLT 复制服务器上，该服务器连接到基础 ERP 系统。使用流式</w:t>
      </w:r>
      <w:r>
        <w:rPr>
          <w:rFonts w:ascii="微软雅黑" w:hAnsi="微软雅黑"/>
          <w:color w:val="0066CC"/>
          <w:sz w:val="21"/>
          <w:u w:val="single"/>
        </w:rPr>
        <w:t>管道模式</w:t>
      </w:r>
      <w:r>
        <w:rPr>
          <w:rFonts w:ascii="微软雅黑" w:hAnsi="微软雅黑"/>
          <w:sz w:val="21"/>
        </w:rPr>
        <w:t>需要 SLT。</w:t>
      </w:r>
    </w:p>
    <w:p>
      <w:pPr>
        <w:pStyle w:val="ListBullet"/>
        <w:spacing w:line="360" w:lineRule="auto" w:after="120"/>
      </w:pPr>
      <w:r>
        <w:rPr>
          <w:rFonts w:ascii="微软雅黑" w:hAnsi="微软雅黑"/>
          <w:b/>
          <w:sz w:val="21"/>
        </w:rPr>
        <w:t>远程：</w:t>
      </w:r>
      <w:r>
        <w:rPr>
          <w:rFonts w:ascii="微软雅黑" w:hAnsi="微软雅黑"/>
          <w:sz w:val="21"/>
        </w:rPr>
        <w:t xml:space="preserve"> 连接器安装在连接到基础 ERP 系统的“网关”应用程序服务器上。通常用于 SAP 源不满足连接器</w:t>
      </w:r>
      <w:r>
        <w:rPr>
          <w:rFonts w:ascii="微软雅黑" w:hAnsi="微软雅黑"/>
          <w:color w:val="0066CC"/>
          <w:sz w:val="21"/>
          <w:u w:val="single"/>
        </w:rPr>
        <w:t>先决条件</w:t>
      </w:r>
      <w:r>
        <w:rPr>
          <w:rFonts w:ascii="微软雅黑" w:hAnsi="微软雅黑"/>
          <w:sz w:val="21"/>
        </w:rPr>
        <w:t>的情况。</w:t>
      </w:r>
    </w:p>
    <w:p>
      <w:pPr>
        <w:spacing w:line="360" w:lineRule="auto" w:after="120"/>
      </w:pPr>
      <w:r>
        <w:rPr>
          <w:rFonts w:ascii="微软雅黑" w:hAnsi="微软雅黑"/>
          <w:sz w:val="21"/>
        </w:rPr>
        <w:t xml:space="preserve">  在 SLT 或远程连接的情况下，用户必须选择用于识别要连接的 SAP 子系统的上下文。</w:t>
      </w:r>
    </w:p>
    <w:p>
      <w:pPr>
        <w:pStyle w:val="Heading3"/>
      </w:pPr>
      <w:r>
        <w:rPr>
          <w:rFonts w:ascii="微软雅黑" w:hAnsi="微软雅黑"/>
        </w:rPr>
        <w:t>管道模式</w:t>
      </w:r>
    </w:p>
    <w:p>
      <w:pPr>
        <w:spacing w:line="360" w:lineRule="auto" w:after="120"/>
      </w:pPr>
      <w:r>
        <w:rPr>
          <w:rFonts w:ascii="微软雅黑" w:hAnsi="微软雅黑"/>
          <w:sz w:val="21"/>
        </w:rPr>
        <w:t>HyperAuto 支持两种同步和数据变换模式。您可以在</w:t>
      </w:r>
      <w:r>
        <w:rPr>
          <w:rFonts w:ascii="微软雅黑" w:hAnsi="微软雅黑"/>
          <w:b/>
          <w:sz w:val="21"/>
        </w:rPr>
        <w:t>源配置</w:t>
      </w:r>
      <w:r>
        <w:rPr>
          <w:rFonts w:ascii="微软雅黑" w:hAnsi="微软雅黑"/>
          <w:sz w:val="21"/>
        </w:rPr>
        <w:t>页面上的初始 HyperAuto 管道设置中选择流式处理或批处理模式。</w:t>
      </w:r>
    </w:p>
    <w:p>
      <w:pPr>
        <w:pStyle w:val="ListBullet"/>
        <w:spacing w:line="360" w:lineRule="auto" w:after="120"/>
      </w:pPr>
      <w:r>
        <w:rPr>
          <w:rFonts w:ascii="微软雅黑" w:hAnsi="微软雅黑"/>
          <w:b/>
          <w:sz w:val="21"/>
        </w:rPr>
        <w:t>批处理：</w:t>
      </w:r>
      <w:r>
        <w:rPr>
          <w:rFonts w:ascii="微软雅黑" w:hAnsi="微软雅黑"/>
          <w:sz w:val="21"/>
        </w:rPr>
        <w:t xml:space="preserve"> 管道的每次运行都会重新处理所有输入并覆盖所有现有输出。这是默认模式，允许最大范围的功能，包括聚合和去重。此模式推荐用于大多数应用案例。</w:t>
      </w:r>
    </w:p>
    <w:p>
      <w:pPr>
        <w:pStyle w:val="ListBullet"/>
        <w:spacing w:line="360" w:lineRule="auto" w:after="120"/>
      </w:pPr>
      <w:r>
        <w:rPr>
          <w:rFonts w:ascii="微软雅黑" w:hAnsi="微软雅黑"/>
          <w:b/>
          <w:sz w:val="21"/>
        </w:rPr>
        <w:t>流式处理：</w:t>
      </w:r>
      <w:r>
        <w:rPr>
          <w:rFonts w:ascii="微软雅黑" w:hAnsi="微软雅黑"/>
          <w:sz w:val="21"/>
        </w:rPr>
        <w:t xml:space="preserve"> 源系统会不断轮询尚未处理的数据。一旦在源系统上可用，数据会立即被处理，从而将同步到 Ontology 的延迟减少到接近实时。这对于依赖 Ontology 去重流数据的实时应用程序特别有价值。</w:t>
      </w:r>
    </w:p>
    <w:p>
      <w:pPr>
        <w:spacing w:line="360" w:lineRule="auto" w:after="120"/>
      </w:pPr>
      <w:r>
        <w:rPr>
          <w:rFonts w:ascii="微软雅黑" w:hAnsi="微软雅黑"/>
          <w:sz w:val="21"/>
        </w:rPr>
        <w:t>流式处理需要实时处理数据的持续计算，因此可能会增加源系统和 Foundry 内部的负载。</w:t>
      </w:r>
    </w:p>
    <w:p>
      <w:pPr>
        <w:pStyle w:val="Heading2"/>
      </w:pPr>
      <w:r>
        <w:rPr>
          <w:rFonts w:ascii="微软雅黑" w:hAnsi="微软雅黑"/>
        </w:rPr>
        <w:t>输入配置</w:t>
      </w:r>
    </w:p>
    <w:p>
      <w:pPr>
        <w:spacing w:line="360" w:lineRule="auto" w:after="120"/>
      </w:pPr>
      <w:r>
        <w:rPr>
          <w:rFonts w:ascii="微软雅黑" w:hAnsi="微软雅黑"/>
          <w:sz w:val="21"/>
        </w:rPr>
        <w:t>输入配置页面是用户选择要由特定 HyperAuto 管道处理的特定输入的地方。</w:t>
      </w:r>
    </w:p>
    <w:p>
      <w:pPr>
        <w:spacing w:after="40"/>
        <w:jc w:val="center"/>
      </w:pPr>
      <w:r>
        <w:rPr>
          <w:i/>
          <w:color w:val="646464"/>
          <w:sz w:val="18"/>
        </w:rPr>
        <w:t>图：输入配置向导</w:t>
      </w:r>
    </w:p>
    <w:p>
      <w:pPr>
        <w:spacing w:before="120" w:after="240"/>
        <w:jc w:val="center"/>
      </w:pPr>
      <w:r>
        <w:drawing>
          <wp:inline xmlns:a="http://schemas.openxmlformats.org/drawingml/2006/main" xmlns:pic="http://schemas.openxmlformats.org/drawingml/2006/picture">
            <wp:extent cx="5029200" cy="2786176"/>
            <wp:docPr id="11" name="Picture 11"/>
            <wp:cNvGraphicFramePr>
              <a:graphicFrameLocks noChangeAspect="1"/>
            </wp:cNvGraphicFramePr>
            <a:graphic>
              <a:graphicData uri="http://schemas.openxmlformats.org/drawingml/2006/picture">
                <pic:pic>
                  <pic:nvPicPr>
                    <pic:cNvPr id="0" name="hyperauto-v2-wizard-3-add-add-to-cart.png"/>
                    <pic:cNvPicPr/>
                  </pic:nvPicPr>
                  <pic:blipFill>
                    <a:blip r:embed="rId18"/>
                    <a:stretch>
                      <a:fillRect/>
                    </a:stretch>
                  </pic:blipFill>
                  <pic:spPr>
                    <a:xfrm>
                      <a:off x="0" y="0"/>
                      <a:ext cx="5029200" cy="2786176"/>
                    </a:xfrm>
                    <a:prstGeom prst="rect"/>
                  </pic:spPr>
                </pic:pic>
              </a:graphicData>
            </a:graphic>
          </wp:inline>
        </w:drawing>
      </w:r>
    </w:p>
    <w:p>
      <w:pPr>
        <w:spacing w:line="360" w:lineRule="auto" w:after="120"/>
      </w:pPr>
      <w:r>
        <w:rPr>
          <w:rFonts w:ascii="微软雅黑" w:hAnsi="微软雅黑"/>
          <w:sz w:val="21"/>
        </w:rPr>
        <w:t>为了便于使用，输入选择 UI 支持几种方法来浏览和发现相关的源表。对于 SAP，这些方法包括：</w:t>
      </w:r>
    </w:p>
    <w:p>
      <w:pPr>
        <w:pStyle w:val="ListBullet"/>
        <w:spacing w:line="360" w:lineRule="auto" w:after="120"/>
      </w:pPr>
      <w:r>
        <w:rPr>
          <w:rFonts w:ascii="微软雅黑" w:hAnsi="微软雅黑"/>
          <w:b/>
          <w:sz w:val="21"/>
        </w:rPr>
        <w:t>模块：</w:t>
      </w:r>
      <w:r>
        <w:rPr>
          <w:rFonts w:ascii="微软雅黑" w:hAnsi="微软雅黑"/>
          <w:sz w:val="21"/>
        </w:rPr>
        <w:t xml:space="preserve"> 对源内表格的分类提供了分层视图，用户可以从中进行探索和批量添加。如果相关，表可以存在于多个模块中，但不能被多次选择。</w:t>
      </w:r>
    </w:p>
    <w:p>
      <w:pPr>
        <w:pStyle w:val="ListBullet"/>
        <w:spacing w:line="360" w:lineRule="auto" w:after="120"/>
      </w:pPr>
      <w:r>
        <w:rPr>
          <w:rFonts w:ascii="微软雅黑" w:hAnsi="微软雅黑"/>
          <w:b/>
          <w:sz w:val="21"/>
        </w:rPr>
        <w:t>工作流：</w:t>
      </w:r>
      <w:r>
        <w:rPr>
          <w:rFonts w:ascii="微软雅黑" w:hAnsi="微软雅黑"/>
          <w:sz w:val="21"/>
        </w:rPr>
        <w:t xml:space="preserve"> 另一种表格分类形式，专注于源的特定常见应用案例（例如 SAP 源的供应链管理）。同样，用户可以使用工作流进行探索和批量添加，并可以在这些工作流和模块之间切换，而不会丢失进度或意外重复选择。</w:t>
      </w:r>
    </w:p>
    <w:p>
      <w:pPr>
        <w:spacing w:line="360" w:lineRule="auto" w:after="120"/>
      </w:pPr>
      <w:r>
        <w:rPr>
          <w:rFonts w:ascii="微软雅黑" w:hAnsi="微软雅黑"/>
          <w:sz w:val="21"/>
        </w:rPr>
        <w:t>从输入配置页面也可以创建同步，允许用户为任何尚未同步的输入创建新同步。这使得用户可以仅通过几次点击就从全新的源开始到完全配置的 HyperAuto 管道，而无需弄清楚每个同步应该如何配置。</w:t>
      </w:r>
    </w:p>
    <w:p>
      <w:pPr>
        <w:spacing w:line="360" w:lineRule="auto" w:after="120"/>
      </w:pPr>
      <w:r>
        <w:rPr>
          <w:rFonts w:ascii="微软雅黑" w:hAnsi="微软雅黑"/>
          <w:sz w:val="21"/>
        </w:rPr>
        <w:t>同步创建是一个 Beta 功能，可能在您的 Foundry 实例上不可用。如果您有兴趣使用此功能，请联系您的平台管理员。</w:t>
      </w:r>
    </w:p>
    <w:p>
      <w:pPr>
        <w:spacing w:line="360" w:lineRule="auto" w:after="120"/>
      </w:pPr>
      <w:r>
        <w:rPr>
          <w:rFonts w:ascii="微软雅黑" w:hAnsi="微软雅黑"/>
          <w:sz w:val="21"/>
        </w:rPr>
        <w:t>您的 Foundry 注册可能在</w:t>
      </w:r>
      <w:r>
        <w:rPr>
          <w:rFonts w:ascii="微软雅黑" w:hAnsi="微软雅黑"/>
          <w:b/>
          <w:sz w:val="21"/>
        </w:rPr>
        <w:t>建议</w:t>
      </w:r>
      <w:r>
        <w:rPr>
          <w:rFonts w:ascii="微软雅黑" w:hAnsi="微软雅黑"/>
          <w:sz w:val="21"/>
        </w:rPr>
        <w:t>选项卡上启用了 AIP 功能；更多信息可以在</w:t>
      </w:r>
      <w:r>
        <w:rPr>
          <w:rFonts w:ascii="微软雅黑" w:hAnsi="微软雅黑"/>
          <w:color w:val="0066CC"/>
          <w:sz w:val="21"/>
          <w:u w:val="single"/>
        </w:rPr>
        <w:t>AIP 文档</w:t>
      </w:r>
      <w:r>
        <w:rPr>
          <w:rFonts w:ascii="微软雅黑" w:hAnsi="微软雅黑"/>
          <w:sz w:val="21"/>
        </w:rPr>
        <w:t>中找到。</w:t>
      </w:r>
    </w:p>
    <w:p>
      <w:pPr>
        <w:pStyle w:val="Heading2"/>
      </w:pPr>
      <w:r>
        <w:rPr>
          <w:rFonts w:ascii="微软雅黑" w:hAnsi="微软雅黑"/>
        </w:rPr>
        <w:t>管道配置</w:t>
      </w:r>
    </w:p>
    <w:p>
      <w:pPr>
        <w:spacing w:line="360" w:lineRule="auto" w:after="120"/>
      </w:pPr>
      <w:r>
        <w:rPr>
          <w:rFonts w:ascii="微软雅黑" w:hAnsi="微软雅黑"/>
          <w:sz w:val="21"/>
        </w:rPr>
        <w:t>管道配置页面使您能够设置满足您需求的管道，选项包括：</w:t>
      </w:r>
    </w:p>
    <w:p>
      <w:pPr>
        <w:pStyle w:val="ListBullet"/>
        <w:spacing w:line="360" w:lineRule="auto" w:after="120"/>
      </w:pPr>
      <w:r>
        <w:rPr>
          <w:rFonts w:ascii="微软雅黑" w:hAnsi="微软雅黑"/>
          <w:color w:val="0066CC"/>
          <w:sz w:val="21"/>
          <w:u w:val="single"/>
        </w:rPr>
        <w:t>语言选择</w:t>
      </w:r>
    </w:p>
    <w:p>
      <w:pPr>
        <w:pStyle w:val="ListBullet"/>
        <w:spacing w:line="360" w:lineRule="auto" w:after="120"/>
      </w:pPr>
      <w:r>
        <w:rPr>
          <w:rFonts w:ascii="微软雅黑" w:hAnsi="微软雅黑"/>
          <w:color w:val="0066CC"/>
          <w:sz w:val="21"/>
          <w:u w:val="single"/>
        </w:rPr>
        <w:t>配置选项</w:t>
      </w:r>
    </w:p>
    <w:p>
      <w:pPr>
        <w:pStyle w:val="ListBullet"/>
        <w:spacing w:line="360" w:lineRule="auto" w:after="120"/>
      </w:pPr>
      <w:r>
        <w:rPr>
          <w:rFonts w:ascii="微软雅黑" w:hAnsi="微软雅黑"/>
          <w:color w:val="0066CC"/>
          <w:sz w:val="21"/>
          <w:u w:val="single"/>
        </w:rPr>
        <w:t>自动合并</w:t>
      </w:r>
    </w:p>
    <w:p>
      <w:pPr>
        <w:pStyle w:val="ListBullet"/>
        <w:spacing w:line="360" w:lineRule="auto" w:after="120"/>
      </w:pPr>
      <w:r>
        <w:rPr>
          <w:rFonts w:ascii="微软雅黑" w:hAnsi="微软雅黑"/>
          <w:color w:val="0066CC"/>
          <w:sz w:val="21"/>
          <w:u w:val="single"/>
        </w:rPr>
        <w:t>人类可读的列名称</w:t>
      </w:r>
    </w:p>
    <w:p>
      <w:pPr>
        <w:pStyle w:val="ListBullet"/>
        <w:spacing w:line="360" w:lineRule="auto" w:after="120"/>
      </w:pPr>
      <w:r>
        <w:rPr>
          <w:rFonts w:ascii="微软雅黑" w:hAnsi="微软雅黑"/>
          <w:color w:val="0066CC"/>
          <w:sz w:val="21"/>
          <w:u w:val="single"/>
        </w:rPr>
        <w:t>生成主键</w:t>
      </w:r>
    </w:p>
    <w:p>
      <w:pPr>
        <w:pStyle w:val="ListBullet"/>
        <w:spacing w:line="360" w:lineRule="auto" w:after="120"/>
      </w:pPr>
      <w:r>
        <w:rPr>
          <w:rFonts w:ascii="微软雅黑" w:hAnsi="微软雅黑"/>
          <w:color w:val="0066CC"/>
          <w:sz w:val="21"/>
          <w:u w:val="single"/>
        </w:rPr>
        <w:t>生成外键</w:t>
      </w:r>
    </w:p>
    <w:p>
      <w:pPr>
        <w:pStyle w:val="ListBullet"/>
        <w:spacing w:line="360" w:lineRule="auto" w:after="120"/>
      </w:pPr>
      <w:r>
        <w:rPr>
          <w:rFonts w:ascii="微软雅黑" w:hAnsi="微软雅黑"/>
          <w:color w:val="0066CC"/>
          <w:sz w:val="21"/>
          <w:u w:val="single"/>
        </w:rPr>
        <w:t>去重行</w:t>
      </w:r>
    </w:p>
    <w:p>
      <w:pPr>
        <w:pStyle w:val="ListBullet"/>
        <w:spacing w:line="360" w:lineRule="auto" w:after="120"/>
      </w:pPr>
      <w:r>
        <w:rPr>
          <w:rFonts w:ascii="微软雅黑" w:hAnsi="微软雅黑"/>
          <w:color w:val="0066CC"/>
          <w:sz w:val="21"/>
          <w:u w:val="single"/>
        </w:rPr>
        <w:t>数据清理</w:t>
      </w:r>
    </w:p>
    <w:p>
      <w:pPr>
        <w:spacing w:after="40"/>
        <w:jc w:val="center"/>
      </w:pPr>
      <w:r>
        <w:rPr>
          <w:i/>
          <w:color w:val="646464"/>
          <w:sz w:val="18"/>
        </w:rPr>
        <w:t>图：管道配置向导</w:t>
      </w:r>
    </w:p>
    <w:p>
      <w:pPr>
        <w:spacing w:before="120" w:after="240"/>
        <w:jc w:val="center"/>
      </w:pPr>
      <w:r>
        <w:drawing>
          <wp:inline xmlns:a="http://schemas.openxmlformats.org/drawingml/2006/main" xmlns:pic="http://schemas.openxmlformats.org/drawingml/2006/picture">
            <wp:extent cx="5029200" cy="2786176"/>
            <wp:docPr id="12" name="Picture 12"/>
            <wp:cNvGraphicFramePr>
              <a:graphicFrameLocks noChangeAspect="1"/>
            </wp:cNvGraphicFramePr>
            <a:graphic>
              <a:graphicData uri="http://schemas.openxmlformats.org/drawingml/2006/picture">
                <pic:pic>
                  <pic:nvPicPr>
                    <pic:cNvPr id="0" name="hyperauto-v2-wizard-4-pipeline-config.png"/>
                    <pic:cNvPicPr/>
                  </pic:nvPicPr>
                  <pic:blipFill>
                    <a:blip r:embed="rId19"/>
                    <a:stretch>
                      <a:fillRect/>
                    </a:stretch>
                  </pic:blipFill>
                  <pic:spPr>
                    <a:xfrm>
                      <a:off x="0" y="0"/>
                      <a:ext cx="5029200" cy="2786176"/>
                    </a:xfrm>
                    <a:prstGeom prst="rect"/>
                  </pic:spPr>
                </pic:pic>
              </a:graphicData>
            </a:graphic>
          </wp:inline>
        </w:drawing>
      </w:r>
    </w:p>
    <w:p>
      <w:pPr>
        <w:pStyle w:val="Heading3"/>
      </w:pPr>
      <w:r>
        <w:rPr>
          <w:rFonts w:ascii="微软雅黑" w:hAnsi="微软雅黑"/>
        </w:rPr>
        <w:t>语言选择</w:t>
      </w:r>
    </w:p>
    <w:p>
      <w:pPr>
        <w:spacing w:line="360" w:lineRule="auto" w:after="120"/>
      </w:pPr>
      <w:r>
        <w:rPr>
          <w:rFonts w:ascii="微软雅黑" w:hAnsi="微软雅黑"/>
          <w:sz w:val="21"/>
        </w:rPr>
        <w:t>对于包含多语言数据表的源，HyperAuto 提供语言筛选步骤，以避免在输出中为可能的每种语言填充多行。此处选择的语言将作为筛选应用于相关表，在应用其他变换（例如合并到其他表）之前。</w:t>
      </w:r>
    </w:p>
    <w:p>
      <w:pPr>
        <w:pStyle w:val="Heading3"/>
      </w:pPr>
      <w:r>
        <w:rPr>
          <w:rFonts w:ascii="微软雅黑" w:hAnsi="微软雅黑"/>
        </w:rPr>
        <w:t>配置选项</w:t>
      </w:r>
    </w:p>
    <w:p>
      <w:pPr>
        <w:spacing w:line="360" w:lineRule="auto" w:after="120"/>
      </w:pPr>
      <w:r>
        <w:rPr>
          <w:rFonts w:ascii="微软雅黑" w:hAnsi="微软雅黑"/>
          <w:sz w:val="21"/>
        </w:rPr>
        <w:t>您可以决定用户希望在所有源输入中自动应用多少处理。所有配置选项默认启用，但可以根据需要禁用（例如，在功能和管道性能之间取得平衡）。</w:t>
      </w:r>
    </w:p>
    <w:p>
      <w:pPr>
        <w:spacing w:line="360" w:lineRule="auto" w:after="120"/>
      </w:pPr>
      <w:r>
        <w:rPr>
          <w:rFonts w:ascii="微软雅黑" w:hAnsi="微软雅黑"/>
          <w:sz w:val="21"/>
        </w:rPr>
        <w:t>#### 自动合并</w:t>
      </w:r>
    </w:p>
    <w:p>
      <w:pPr>
        <w:spacing w:before="120" w:after="240"/>
        <w:jc w:val="center"/>
      </w:pPr>
      <w:r>
        <w:drawing>
          <wp:inline xmlns:a="http://schemas.openxmlformats.org/drawingml/2006/main" xmlns:pic="http://schemas.openxmlformats.org/drawingml/2006/picture">
            <wp:extent cx="5029200" cy="2844701"/>
            <wp:docPr id="13" name="Picture 13"/>
            <wp:cNvGraphicFramePr>
              <a:graphicFrameLocks noChangeAspect="1"/>
            </wp:cNvGraphicFramePr>
            <a:graphic>
              <a:graphicData uri="http://schemas.openxmlformats.org/drawingml/2006/picture">
                <pic:pic>
                  <pic:nvPicPr>
                    <pic:cNvPr id="0" name="hyperauto-v2-pipeline-config-auto-join.png"/>
                    <pic:cNvPicPr/>
                  </pic:nvPicPr>
                  <pic:blipFill>
                    <a:blip r:embed="rId20"/>
                    <a:stretch>
                      <a:fillRect/>
                    </a:stretch>
                  </pic:blipFill>
                  <pic:spPr>
                    <a:xfrm>
                      <a:off x="0" y="0"/>
                      <a:ext cx="5029200" cy="2844701"/>
                    </a:xfrm>
                    <a:prstGeom prst="rect"/>
                  </pic:spPr>
                </pic:pic>
              </a:graphicData>
            </a:graphic>
          </wp:inline>
        </w:drawing>
      </w:r>
    </w:p>
    <w:p>
      <w:pPr>
        <w:spacing w:line="360" w:lineRule="auto" w:after="120"/>
      </w:pPr>
      <w:r>
        <w:rPr>
          <w:rFonts w:ascii="微软雅黑" w:hAnsi="微软雅黑"/>
          <w:sz w:val="21"/>
        </w:rPr>
        <w:t>HyperAuto 通过源的元数据接收表分类，将其分为对象表或丰富表。在此定义中，丰富表是那些本身没有内在价值的表，而是作为扩展或查找表（例如，文本描述表）用于关联的对象表。</w:t>
      </w:r>
    </w:p>
    <w:p>
      <w:pPr>
        <w:spacing w:line="360" w:lineRule="auto" w:after="120"/>
      </w:pPr>
      <w:r>
        <w:rPr>
          <w:rFonts w:ascii="微软雅黑" w:hAnsi="微软雅黑"/>
          <w:sz w:val="21"/>
        </w:rPr>
        <w:t xml:space="preserve">通过这种方式，HyperAuto 能够从源中查询 </w:t>
      </w:r>
      <w:r>
        <w:rPr>
          <w:rFonts w:ascii="Consolas" w:hAnsi="Consolas"/>
          <w:color w:val="B43C3C"/>
          <w:sz w:val="18"/>
        </w:rPr>
        <w:t>object</w:t>
      </w:r>
      <w:r>
        <w:rPr>
          <w:rFonts w:ascii="微软雅黑" w:hAnsi="微软雅黑"/>
          <w:sz w:val="21"/>
        </w:rPr>
        <w:t xml:space="preserve"> &lt;-&gt; </w:t>
      </w:r>
      <w:r>
        <w:rPr>
          <w:rFonts w:ascii="Consolas" w:hAnsi="Consolas"/>
          <w:color w:val="B43C3C"/>
          <w:sz w:val="18"/>
        </w:rPr>
        <w:t>enrichment</w:t>
      </w:r>
      <w:r>
        <w:rPr>
          <w:rFonts w:ascii="微软雅黑" w:hAnsi="微软雅黑"/>
          <w:sz w:val="21"/>
        </w:rPr>
        <w:t xml:space="preserve"> 表关系，并生成从丰富表到对象表的相应左合并。这为每个对象提供了丰富、全面的去规范化数据集，无需与其他表合并即可进行广泛的审查。</w:t>
      </w:r>
    </w:p>
    <w:p>
      <w:pPr>
        <w:spacing w:line="360" w:lineRule="auto" w:after="120"/>
      </w:pPr>
      <w:r>
        <w:rPr>
          <w:rFonts w:ascii="微软雅黑" w:hAnsi="微软雅黑"/>
          <w:sz w:val="21"/>
        </w:rPr>
        <w:t>这在搭建 Foundry Ontology 时特别有用，因为标准方法是使用语义导向的去规范化数据模型。</w:t>
      </w:r>
    </w:p>
    <w:p>
      <w:pPr>
        <w:spacing w:line="360" w:lineRule="auto" w:after="120"/>
      </w:pPr>
      <w:r>
        <w:rPr>
          <w:rFonts w:ascii="微软雅黑" w:hAnsi="微软雅黑"/>
          <w:sz w:val="21"/>
        </w:rPr>
        <w:t>##### SAP 中的自动合并</w:t>
      </w:r>
    </w:p>
    <w:p>
      <w:pPr>
        <w:spacing w:line="360" w:lineRule="auto" w:after="120"/>
      </w:pPr>
      <w:r>
        <w:rPr>
          <w:rFonts w:ascii="微软雅黑" w:hAnsi="微软雅黑"/>
          <w:sz w:val="21"/>
        </w:rPr>
        <w:t xml:space="preserve">在 SAP 的情况下，“TEXT”表在 HyperAuto 的处理中被分类为 </w:t>
      </w:r>
      <w:r>
        <w:rPr>
          <w:rFonts w:ascii="Consolas" w:hAnsi="Consolas"/>
          <w:color w:val="B43C3C"/>
          <w:sz w:val="18"/>
        </w:rPr>
        <w:t>Enrichment</w:t>
      </w:r>
      <w:r>
        <w:rPr>
          <w:rFonts w:ascii="微软雅黑" w:hAnsi="微软雅黑"/>
          <w:sz w:val="21"/>
        </w:rPr>
        <w:t xml:space="preserve"> 表。例如，</w:t>
      </w:r>
      <w:r>
        <w:rPr>
          <w:rFonts w:ascii="Consolas" w:hAnsi="Consolas"/>
          <w:color w:val="B43C3C"/>
          <w:sz w:val="18"/>
        </w:rPr>
        <w:t>MAKT</w:t>
      </w:r>
      <w:r>
        <w:rPr>
          <w:rFonts w:ascii="微软雅黑" w:hAnsi="微软雅黑"/>
          <w:sz w:val="21"/>
        </w:rPr>
        <w:t xml:space="preserve">（物料描述）可以与 </w:t>
      </w:r>
      <w:r>
        <w:rPr>
          <w:rFonts w:ascii="Consolas" w:hAnsi="Consolas"/>
          <w:color w:val="B43C3C"/>
          <w:sz w:val="18"/>
        </w:rPr>
        <w:t>MARA</w:t>
      </w:r>
      <w:r>
        <w:rPr>
          <w:rFonts w:ascii="微软雅黑" w:hAnsi="微软雅黑"/>
          <w:sz w:val="21"/>
        </w:rPr>
        <w:t>（一般物料数据）合并。</w:t>
      </w:r>
    </w:p>
    <w:p>
      <w:pPr>
        <w:spacing w:line="360" w:lineRule="auto" w:after="120"/>
      </w:pPr>
      <w:r>
        <w:rPr>
          <w:rFonts w:ascii="微软雅黑" w:hAnsi="微软雅黑"/>
          <w:sz w:val="21"/>
        </w:rPr>
        <w:t>##### 流式处理</w:t>
      </w:r>
    </w:p>
    <w:p>
      <w:pPr>
        <w:spacing w:line="360" w:lineRule="auto" w:after="120"/>
      </w:pPr>
      <w:r>
        <w:rPr>
          <w:rFonts w:ascii="微软雅黑" w:hAnsi="微软雅黑"/>
          <w:sz w:val="21"/>
        </w:rPr>
        <w:t xml:space="preserve">分类为 </w:t>
      </w:r>
      <w:r>
        <w:rPr>
          <w:rFonts w:ascii="Consolas" w:hAnsi="Consolas"/>
          <w:color w:val="B43C3C"/>
          <w:sz w:val="18"/>
        </w:rPr>
        <w:t>Enrichment</w:t>
      </w:r>
      <w:r>
        <w:rPr>
          <w:rFonts w:ascii="微软雅黑" w:hAnsi="微软雅黑"/>
          <w:sz w:val="21"/>
        </w:rPr>
        <w:t xml:space="preserve"> 的表将作为批量输入而不是流式输入被消耗。这允许管道从这些表创建“查找”左合并到核心流中，在不尝试同时合并两个实时流的情况下增强流数据。</w:t>
      </w:r>
    </w:p>
    <w:p>
      <w:pPr>
        <w:spacing w:line="360" w:lineRule="auto" w:after="120"/>
      </w:pPr>
      <w:r>
        <w:rPr>
          <w:rFonts w:ascii="微软雅黑" w:hAnsi="微软雅黑"/>
          <w:sz w:val="21"/>
        </w:rPr>
        <w:t xml:space="preserve">如果模式符合 Foundry 流式处理和使用的底层 Avro 文件格式，流式模式下的 </w:t>
      </w:r>
      <w:r>
        <w:rPr>
          <w:rFonts w:ascii="Consolas" w:hAnsi="Consolas"/>
          <w:color w:val="B43C3C"/>
          <w:sz w:val="18"/>
        </w:rPr>
        <w:t>Enrichment</w:t>
      </w:r>
      <w:r>
        <w:rPr>
          <w:rFonts w:ascii="微软雅黑" w:hAnsi="微软雅黑"/>
          <w:sz w:val="21"/>
        </w:rPr>
        <w:t xml:space="preserve"> 表现有同步将仅在配置相关输入时提供。</w:t>
      </w:r>
    </w:p>
    <w:p>
      <w:pPr>
        <w:spacing w:line="360" w:lineRule="auto" w:after="120"/>
      </w:pPr>
      <w:r>
        <w:rPr>
          <w:rFonts w:ascii="微软雅黑" w:hAnsi="微软雅黑"/>
          <w:sz w:val="21"/>
        </w:rPr>
        <w:t xml:space="preserve">提示：对于 SAP 同步，配置选项 </w:t>
      </w:r>
      <w:r>
        <w:rPr>
          <w:rFonts w:ascii="Consolas" w:hAnsi="Consolas"/>
          <w:color w:val="B43C3C"/>
          <w:sz w:val="18"/>
        </w:rPr>
        <w:t>cleanFieldNamesForAvro</w:t>
      </w:r>
      <w:r>
        <w:rPr>
          <w:rFonts w:ascii="微软雅黑" w:hAnsi="微软雅黑"/>
          <w:sz w:val="21"/>
        </w:rPr>
        <w:t xml:space="preserve"> 设置为 </w:t>
      </w:r>
      <w:r>
        <w:rPr>
          <w:rFonts w:ascii="Consolas" w:hAnsi="Consolas"/>
          <w:color w:val="B43C3C"/>
          <w:sz w:val="18"/>
        </w:rPr>
        <w:t>true</w:t>
      </w:r>
      <w:r>
        <w:rPr>
          <w:rFonts w:ascii="微软雅黑" w:hAnsi="微软雅黑"/>
          <w:sz w:val="21"/>
        </w:rPr>
        <w:t xml:space="preserve"> 确保模式符合 Avro（流式）标准。HyperAuto 创建的同步将默认启用此选项。</w:t>
      </w:r>
    </w:p>
    <w:p>
      <w:pPr>
        <w:spacing w:line="360" w:lineRule="auto" w:after="120"/>
      </w:pPr>
      <w:r>
        <w:rPr>
          <w:rFonts w:ascii="微软雅黑" w:hAnsi="微软雅黑"/>
          <w:sz w:val="21"/>
        </w:rPr>
        <w:t>#### 人类可读的列名称</w:t>
      </w:r>
    </w:p>
    <w:p>
      <w:pPr>
        <w:spacing w:before="120" w:after="240"/>
        <w:jc w:val="center"/>
      </w:pPr>
      <w:r>
        <w:drawing>
          <wp:inline xmlns:a="http://schemas.openxmlformats.org/drawingml/2006/main" xmlns:pic="http://schemas.openxmlformats.org/drawingml/2006/picture">
            <wp:extent cx="5029200" cy="2844701"/>
            <wp:docPr id="14" name="Picture 14"/>
            <wp:cNvGraphicFramePr>
              <a:graphicFrameLocks noChangeAspect="1"/>
            </wp:cNvGraphicFramePr>
            <a:graphic>
              <a:graphicData uri="http://schemas.openxmlformats.org/drawingml/2006/picture">
                <pic:pic>
                  <pic:nvPicPr>
                    <pic:cNvPr id="0" name="hyperauto-v2-pipeline-config-rename-cols.png"/>
                    <pic:cNvPicPr/>
                  </pic:nvPicPr>
                  <pic:blipFill>
                    <a:blip r:embed="rId21"/>
                    <a:stretch>
                      <a:fillRect/>
                    </a:stretch>
                  </pic:blipFill>
                  <pic:spPr>
                    <a:xfrm>
                      <a:off x="0" y="0"/>
                      <a:ext cx="5029200" cy="2844701"/>
                    </a:xfrm>
                    <a:prstGeom prst="rect"/>
                  </pic:spPr>
                </pic:pic>
              </a:graphicData>
            </a:graphic>
          </wp:inline>
        </w:drawing>
      </w:r>
    </w:p>
    <w:p>
      <w:pPr>
        <w:spacing w:line="360" w:lineRule="auto" w:after="120"/>
      </w:pPr>
      <w:r>
        <w:rPr>
          <w:rFonts w:ascii="微软雅黑" w:hAnsi="微软雅黑"/>
          <w:sz w:val="21"/>
        </w:rPr>
        <w:t>HyperAuto 可以使用源提供的列元数据将源定义的列名称重命名为不熟悉源模式的用户易于使用和自我解释的名称。</w:t>
      </w:r>
    </w:p>
    <w:p>
      <w:pPr>
        <w:spacing w:line="360" w:lineRule="auto" w:after="120"/>
      </w:pPr>
      <w:r>
        <w:rPr>
          <w:rFonts w:ascii="微软雅黑" w:hAnsi="微软雅黑"/>
          <w:sz w:val="21"/>
        </w:rPr>
        <w:t xml:space="preserve">这通过将列的可读名称连接到原始列名称的形式 </w:t>
      </w:r>
      <w:r>
        <w:rPr>
          <w:rFonts w:ascii="Consolas" w:hAnsi="Consolas"/>
          <w:color w:val="B43C3C"/>
          <w:sz w:val="18"/>
        </w:rPr>
        <w:t>Human readable_|_original</w:t>
      </w:r>
      <w:r>
        <w:rPr>
          <w:rFonts w:ascii="微软雅黑" w:hAnsi="微软雅黑"/>
          <w:sz w:val="21"/>
        </w:rPr>
        <w:t xml:space="preserve"> 来实现，在与数据交互时提供对这两种形式的访问，以实现最大可用性。</w:t>
      </w:r>
    </w:p>
    <w:p>
      <w:pPr>
        <w:spacing w:line="360" w:lineRule="auto" w:after="120"/>
      </w:pPr>
      <w:r>
        <w:rPr>
          <w:rFonts w:ascii="微软雅黑" w:hAnsi="微软雅黑"/>
          <w:sz w:val="21"/>
        </w:rPr>
        <w:t>#### 生成主键</w:t>
      </w:r>
    </w:p>
    <w:p>
      <w:pPr>
        <w:spacing w:before="120" w:after="240"/>
        <w:jc w:val="center"/>
      </w:pPr>
      <w:r>
        <w:drawing>
          <wp:inline xmlns:a="http://schemas.openxmlformats.org/drawingml/2006/main" xmlns:pic="http://schemas.openxmlformats.org/drawingml/2006/picture">
            <wp:extent cx="5029200" cy="2844701"/>
            <wp:docPr id="15" name="Picture 15"/>
            <wp:cNvGraphicFramePr>
              <a:graphicFrameLocks noChangeAspect="1"/>
            </wp:cNvGraphicFramePr>
            <a:graphic>
              <a:graphicData uri="http://schemas.openxmlformats.org/drawingml/2006/picture">
                <pic:pic>
                  <pic:nvPicPr>
                    <pic:cNvPr id="0" name="hyperauto-v2-pipeline-config-gen-pk.png"/>
                    <pic:cNvPicPr/>
                  </pic:nvPicPr>
                  <pic:blipFill>
                    <a:blip r:embed="rId22"/>
                    <a:stretch>
                      <a:fillRect/>
                    </a:stretch>
                  </pic:blipFill>
                  <pic:spPr>
                    <a:xfrm>
                      <a:off x="0" y="0"/>
                      <a:ext cx="5029200" cy="2844701"/>
                    </a:xfrm>
                    <a:prstGeom prst="rect"/>
                  </pic:spPr>
                </pic:pic>
              </a:graphicData>
            </a:graphic>
          </wp:inline>
        </w:drawing>
      </w:r>
    </w:p>
    <w:p>
      <w:pPr>
        <w:spacing w:line="360" w:lineRule="auto" w:after="120"/>
      </w:pPr>
      <w:r>
        <w:rPr>
          <w:rFonts w:ascii="微软雅黑" w:hAnsi="微软雅黑"/>
          <w:sz w:val="21"/>
        </w:rPr>
        <w:t xml:space="preserve">如果源没有单列主键，HyperAuto 可以动态生成主键。源的元数据包含哪些列组合在一起构成主键的信息，HyperAuto 使用这些信息构建连接逻辑以创建 </w:t>
      </w:r>
      <w:r>
        <w:rPr>
          <w:rFonts w:ascii="Consolas" w:hAnsi="Consolas"/>
          <w:color w:val="B43C3C"/>
          <w:sz w:val="18"/>
        </w:rPr>
        <w:t>primary_key</w:t>
      </w:r>
      <w:r>
        <w:rPr>
          <w:rFonts w:ascii="微软雅黑" w:hAnsi="微软雅黑"/>
          <w:sz w:val="21"/>
        </w:rPr>
        <w:t xml:space="preserve"> 列。</w:t>
      </w:r>
    </w:p>
    <w:p>
      <w:pPr>
        <w:spacing w:line="360" w:lineRule="auto" w:after="120"/>
      </w:pPr>
      <w:r>
        <w:rPr>
          <w:rFonts w:ascii="微软雅黑" w:hAnsi="微软雅黑"/>
          <w:sz w:val="21"/>
        </w:rPr>
        <w:t xml:space="preserve">这些值以 </w:t>
      </w:r>
      <w:r>
        <w:rPr>
          <w:rFonts w:ascii="Consolas" w:hAnsi="Consolas"/>
          <w:color w:val="B43C3C"/>
          <w:sz w:val="18"/>
        </w:rPr>
        <w:t>_|_</w:t>
      </w:r>
      <w:r>
        <w:rPr>
          <w:rFonts w:ascii="微软雅黑" w:hAnsi="微软雅黑"/>
          <w:sz w:val="21"/>
        </w:rPr>
        <w:t xml:space="preserve"> 分隔符连接。</w:t>
      </w:r>
    </w:p>
    <w:p>
      <w:pPr>
        <w:spacing w:line="360" w:lineRule="auto" w:after="120"/>
      </w:pPr>
      <w:r>
        <w:rPr>
          <w:rFonts w:ascii="微软雅黑" w:hAnsi="微软雅黑"/>
          <w:sz w:val="21"/>
        </w:rPr>
        <w:t>拥有单列主键是将输出用作 Ontology 对象支持数据集所必需的。</w:t>
      </w:r>
    </w:p>
    <w:p>
      <w:pPr>
        <w:spacing w:line="360" w:lineRule="auto" w:after="120"/>
      </w:pPr>
      <w:r>
        <w:rPr>
          <w:rFonts w:ascii="微软雅黑" w:hAnsi="微软雅黑"/>
          <w:sz w:val="21"/>
        </w:rPr>
        <w:t>#### 生成外键</w:t>
      </w:r>
    </w:p>
    <w:p>
      <w:pPr>
        <w:spacing w:before="120" w:after="240"/>
        <w:jc w:val="center"/>
      </w:pPr>
      <w:r>
        <w:drawing>
          <wp:inline xmlns:a="http://schemas.openxmlformats.org/drawingml/2006/main" xmlns:pic="http://schemas.openxmlformats.org/drawingml/2006/picture">
            <wp:extent cx="5029200" cy="2844701"/>
            <wp:docPr id="16" name="Picture 16"/>
            <wp:cNvGraphicFramePr>
              <a:graphicFrameLocks noChangeAspect="1"/>
            </wp:cNvGraphicFramePr>
            <a:graphic>
              <a:graphicData uri="http://schemas.openxmlformats.org/drawingml/2006/picture">
                <pic:pic>
                  <pic:nvPicPr>
                    <pic:cNvPr id="0" name="hyperauto-v2-pipeline-config-gen-fk.png"/>
                    <pic:cNvPicPr/>
                  </pic:nvPicPr>
                  <pic:blipFill>
                    <a:blip r:embed="rId23"/>
                    <a:stretch>
                      <a:fillRect/>
                    </a:stretch>
                  </pic:blipFill>
                  <pic:spPr>
                    <a:xfrm>
                      <a:off x="0" y="0"/>
                      <a:ext cx="5029200" cy="2844701"/>
                    </a:xfrm>
                    <a:prstGeom prst="rect"/>
                  </pic:spPr>
                </pic:pic>
              </a:graphicData>
            </a:graphic>
          </wp:inline>
        </w:drawing>
      </w:r>
    </w:p>
    <w:p>
      <w:pPr>
        <w:spacing w:line="360" w:lineRule="auto" w:after="120"/>
      </w:pPr>
      <w:r>
        <w:rPr>
          <w:rFonts w:ascii="微软雅黑" w:hAnsi="微软雅黑"/>
          <w:sz w:val="21"/>
        </w:rPr>
        <w:t>HyperAuto 还可以访问源数据模型元数据中定义的对象到对象关系。使用这些元数据，可以在管道中创建逻辑，为每个关系生成外键列（通过连接相关列，类似于</w:t>
      </w:r>
      <w:r>
        <w:rPr>
          <w:rFonts w:ascii="微软雅黑" w:hAnsi="微软雅黑"/>
          <w:color w:val="0066CC"/>
          <w:sz w:val="21"/>
          <w:u w:val="single"/>
        </w:rPr>
        <w:t>主键逻辑</w:t>
      </w:r>
      <w:r>
        <w:rPr>
          <w:rFonts w:ascii="微软雅黑" w:hAnsi="微软雅黑"/>
          <w:sz w:val="21"/>
        </w:rPr>
        <w:t>），可以用于合并或从中构建 Ontology 链接。</w:t>
      </w:r>
    </w:p>
    <w:p>
      <w:pPr>
        <w:spacing w:line="360" w:lineRule="auto" w:after="120"/>
      </w:pPr>
      <w:r>
        <w:rPr>
          <w:rFonts w:ascii="微软雅黑" w:hAnsi="微软雅黑"/>
          <w:sz w:val="21"/>
        </w:rPr>
        <w:t xml:space="preserve">外键命名的形式为 </w:t>
      </w:r>
      <w:r>
        <w:rPr>
          <w:rFonts w:ascii="Consolas" w:hAnsi="Consolas"/>
          <w:color w:val="B43C3C"/>
          <w:sz w:val="18"/>
        </w:rPr>
        <w:t>column1_column2_|_foreign_key_tableA</w:t>
      </w:r>
      <w:r>
        <w:rPr>
          <w:rFonts w:ascii="微软雅黑" w:hAnsi="微软雅黑"/>
          <w:sz w:val="21"/>
        </w:rPr>
        <w:t>，其中：</w:t>
      </w:r>
    </w:p>
    <w:p>
      <w:pPr>
        <w:pStyle w:val="ListBullet"/>
        <w:spacing w:line="360" w:lineRule="auto" w:after="120"/>
      </w:pPr>
      <w:r>
        <w:rPr>
          <w:rFonts w:ascii="微软雅黑" w:hAnsi="微软雅黑"/>
          <w:sz w:val="21"/>
        </w:rPr>
        <w:t xml:space="preserve">列值通过使用分隔符 </w:t>
      </w:r>
      <w:r>
        <w:rPr>
          <w:rFonts w:ascii="Consolas" w:hAnsi="Consolas"/>
          <w:color w:val="B43C3C"/>
          <w:sz w:val="18"/>
        </w:rPr>
        <w:t>_|_</w:t>
      </w:r>
      <w:r>
        <w:rPr>
          <w:rFonts w:ascii="微软雅黑" w:hAnsi="微软雅黑"/>
          <w:sz w:val="21"/>
        </w:rPr>
        <w:t xml:space="preserve"> 连接 </w:t>
      </w:r>
      <w:r>
        <w:rPr>
          <w:rFonts w:ascii="Consolas" w:hAnsi="Consolas"/>
          <w:color w:val="B43C3C"/>
          <w:sz w:val="18"/>
        </w:rPr>
        <w:t>column1</w:t>
      </w:r>
      <w:r>
        <w:rPr>
          <w:rFonts w:ascii="微软雅黑" w:hAnsi="微软雅黑"/>
          <w:sz w:val="21"/>
        </w:rPr>
        <w:t xml:space="preserve"> 和 </w:t>
      </w:r>
      <w:r>
        <w:rPr>
          <w:rFonts w:ascii="Consolas" w:hAnsi="Consolas"/>
          <w:color w:val="B43C3C"/>
          <w:sz w:val="18"/>
        </w:rPr>
        <w:t>column2</w:t>
      </w:r>
      <w:r>
        <w:rPr>
          <w:rFonts w:ascii="微软雅黑" w:hAnsi="微软雅黑"/>
          <w:sz w:val="21"/>
        </w:rPr>
        <w:t xml:space="preserve"> 组合而成，且</w:t>
      </w:r>
    </w:p>
    <w:p>
      <w:pPr>
        <w:pStyle w:val="ListBullet"/>
        <w:spacing w:line="360" w:lineRule="auto" w:after="120"/>
      </w:pPr>
      <w:r>
        <w:rPr>
          <w:rFonts w:ascii="微软雅黑" w:hAnsi="微软雅黑"/>
          <w:sz w:val="21"/>
        </w:rPr>
        <w:t xml:space="preserve">存在一个外部关系，使得用户可以通过此列合并此表与 </w:t>
      </w:r>
      <w:r>
        <w:rPr>
          <w:rFonts w:ascii="Consolas" w:hAnsi="Consolas"/>
          <w:color w:val="B43C3C"/>
          <w:sz w:val="18"/>
        </w:rPr>
        <w:t>tableA</w:t>
      </w:r>
      <w:r>
        <w:rPr>
          <w:rFonts w:ascii="微软雅黑" w:hAnsi="微软雅黑"/>
          <w:sz w:val="21"/>
        </w:rPr>
        <w:t xml:space="preserve"> 的 </w:t>
      </w:r>
      <w:r>
        <w:rPr>
          <w:rFonts w:ascii="Consolas" w:hAnsi="Consolas"/>
          <w:color w:val="B43C3C"/>
          <w:sz w:val="18"/>
        </w:rPr>
        <w:t>primary_key</w:t>
      </w:r>
      <w:r>
        <w:rPr>
          <w:rFonts w:ascii="微软雅黑" w:hAnsi="微软雅黑"/>
          <w:sz w:val="21"/>
        </w:rPr>
        <w:t>。</w:t>
      </w:r>
    </w:p>
    <w:p>
      <w:pPr>
        <w:spacing w:line="360" w:lineRule="auto" w:after="120"/>
      </w:pPr>
      <w:r>
        <w:rPr>
          <w:rFonts w:ascii="微软雅黑" w:hAnsi="微软雅黑"/>
          <w:sz w:val="21"/>
        </w:rPr>
        <w:t>外键是为对象之间创建 Ontology 关系所必需的。</w:t>
      </w:r>
    </w:p>
    <w:p>
      <w:pPr>
        <w:spacing w:line="360" w:lineRule="auto" w:after="120"/>
      </w:pPr>
      <w:r>
        <w:rPr>
          <w:rFonts w:ascii="微软雅黑" w:hAnsi="微软雅黑"/>
          <w:sz w:val="21"/>
        </w:rPr>
        <w:t>当启用</w:t>
      </w:r>
      <w:r>
        <w:rPr>
          <w:rFonts w:ascii="微软雅黑" w:hAnsi="微软雅黑"/>
          <w:color w:val="0066CC"/>
          <w:sz w:val="21"/>
          <w:u w:val="single"/>
        </w:rPr>
        <w:t>自动合并</w:t>
      </w:r>
      <w:r>
        <w:rPr>
          <w:rFonts w:ascii="微软雅黑" w:hAnsi="微软雅黑"/>
          <w:sz w:val="21"/>
        </w:rPr>
        <w:t>配置选项时，不会为对象到丰富表的关系创建外键。</w:t>
      </w:r>
    </w:p>
    <w:p>
      <w:pPr>
        <w:spacing w:line="360" w:lineRule="auto" w:after="120"/>
      </w:pPr>
      <w:r>
        <w:rPr>
          <w:rFonts w:ascii="微软雅黑" w:hAnsi="微软雅黑"/>
          <w:sz w:val="21"/>
        </w:rPr>
        <w:t>#### 去重行</w:t>
      </w:r>
    </w:p>
    <w:p>
      <w:pPr>
        <w:spacing w:before="120" w:after="240"/>
        <w:jc w:val="center"/>
      </w:pPr>
      <w:r>
        <w:drawing>
          <wp:inline xmlns:a="http://schemas.openxmlformats.org/drawingml/2006/main" xmlns:pic="http://schemas.openxmlformats.org/drawingml/2006/picture">
            <wp:extent cx="5029200" cy="2844701"/>
            <wp:docPr id="17" name="Picture 17"/>
            <wp:cNvGraphicFramePr>
              <a:graphicFrameLocks noChangeAspect="1"/>
            </wp:cNvGraphicFramePr>
            <a:graphic>
              <a:graphicData uri="http://schemas.openxmlformats.org/drawingml/2006/picture">
                <pic:pic>
                  <pic:nvPicPr>
                    <pic:cNvPr id="0" name="hyperauto-v2-pipeline-config-dedupe.png"/>
                    <pic:cNvPicPr/>
                  </pic:nvPicPr>
                  <pic:blipFill>
                    <a:blip r:embed="rId24"/>
                    <a:stretch>
                      <a:fillRect/>
                    </a:stretch>
                  </pic:blipFill>
                  <pic:spPr>
                    <a:xfrm>
                      <a:off x="0" y="0"/>
                      <a:ext cx="5029200" cy="2844701"/>
                    </a:xfrm>
                    <a:prstGeom prst="rect"/>
                  </pic:spPr>
                </pic:pic>
              </a:graphicData>
            </a:graphic>
          </wp:inline>
        </w:drawing>
      </w:r>
    </w:p>
    <w:p>
      <w:pPr>
        <w:spacing w:line="360" w:lineRule="auto" w:after="120"/>
      </w:pPr>
      <w:r>
        <w:rPr>
          <w:rFonts w:ascii="微软雅黑" w:hAnsi="微软雅黑"/>
          <w:sz w:val="21"/>
        </w:rPr>
        <w:t>HyperAuto 提供逻辑以自动去除包含重复行的表。这在诸如变更数据捕获（CDC）系统等情况下特别有用，后者在每次发生更改时都会附加新行。HyperAuto 将去重，选择每个主键的最新行。</w:t>
      </w:r>
    </w:p>
    <w:p>
      <w:pPr>
        <w:spacing w:line="360" w:lineRule="auto" w:after="120"/>
      </w:pPr>
      <w:r>
        <w:rPr>
          <w:rFonts w:ascii="微软雅黑" w:hAnsi="微软雅黑"/>
          <w:sz w:val="21"/>
        </w:rPr>
        <w:t>##### 流式处理</w:t>
      </w:r>
    </w:p>
    <w:p>
      <w:pPr>
        <w:spacing w:line="360" w:lineRule="auto" w:after="120"/>
      </w:pPr>
      <w:r>
        <w:rPr>
          <w:rFonts w:ascii="微软雅黑" w:hAnsi="微软雅黑"/>
          <w:sz w:val="21"/>
        </w:rPr>
        <w:t>在流式模式下，去重的处理方式有所不同。将创建两个流式输出。主要输出将解析为去重数据集，当由批处理或增量管道读取时。如果需要，变更日志输出将提供未去重的数据集。两个输出都可以正常地由另一个流消耗。</w:t>
      </w:r>
    </w:p>
    <w:p>
      <w:pPr>
        <w:spacing w:line="360" w:lineRule="auto" w:after="120"/>
      </w:pPr>
      <w:r>
        <w:rPr>
          <w:rFonts w:ascii="微软雅黑" w:hAnsi="微软雅黑"/>
          <w:sz w:val="21"/>
        </w:rPr>
        <w:t>如果构成表主键的列不属于以下类型之一，它们将被强制转换为字符串以确保去重可以工作：</w:t>
      </w:r>
    </w:p>
    <w:p>
      <w:pPr>
        <w:pStyle w:val="ListBullet"/>
        <w:spacing w:line="360" w:lineRule="auto" w:after="120"/>
      </w:pPr>
      <w:r>
        <w:rPr>
          <w:rFonts w:ascii="微软雅黑" w:hAnsi="微软雅黑"/>
          <w:sz w:val="21"/>
        </w:rPr>
        <w:t>字符串</w:t>
      </w:r>
    </w:p>
    <w:p>
      <w:pPr>
        <w:pStyle w:val="ListBullet"/>
        <w:spacing w:line="360" w:lineRule="auto" w:after="120"/>
      </w:pPr>
      <w:r>
        <w:rPr>
          <w:rFonts w:ascii="微软雅黑" w:hAnsi="微软雅黑"/>
          <w:sz w:val="21"/>
        </w:rPr>
        <w:t>时间戳</w:t>
      </w:r>
    </w:p>
    <w:p>
      <w:pPr>
        <w:pStyle w:val="ListBullet"/>
        <w:spacing w:line="360" w:lineRule="auto" w:after="120"/>
      </w:pPr>
      <w:r>
        <w:rPr>
          <w:rFonts w:ascii="微软雅黑" w:hAnsi="微软雅黑"/>
          <w:sz w:val="21"/>
        </w:rPr>
        <w:t>布尔</w:t>
      </w:r>
    </w:p>
    <w:p>
      <w:pPr>
        <w:pStyle w:val="ListBullet"/>
        <w:spacing w:line="360" w:lineRule="auto" w:after="120"/>
      </w:pPr>
      <w:r>
        <w:rPr>
          <w:rFonts w:ascii="微软雅黑" w:hAnsi="微软雅黑"/>
          <w:sz w:val="21"/>
        </w:rPr>
        <w:t>二进制</w:t>
      </w:r>
    </w:p>
    <w:p>
      <w:pPr>
        <w:pStyle w:val="ListBullet"/>
        <w:spacing w:line="360" w:lineRule="auto" w:after="120"/>
      </w:pPr>
      <w:r>
        <w:rPr>
          <w:rFonts w:ascii="微软雅黑" w:hAnsi="微软雅黑"/>
          <w:sz w:val="21"/>
        </w:rPr>
        <w:t>整数</w:t>
      </w:r>
    </w:p>
    <w:p>
      <w:pPr>
        <w:pStyle w:val="ListBullet"/>
        <w:spacing w:line="360" w:lineRule="auto" w:after="120"/>
      </w:pPr>
      <w:r>
        <w:rPr>
          <w:rFonts w:ascii="微软雅黑" w:hAnsi="微软雅黑"/>
          <w:sz w:val="21"/>
        </w:rPr>
        <w:t>字节</w:t>
      </w:r>
    </w:p>
    <w:p>
      <w:pPr>
        <w:pStyle w:val="ListBullet"/>
        <w:spacing w:line="360" w:lineRule="auto" w:after="120"/>
      </w:pPr>
      <w:r>
        <w:rPr>
          <w:rFonts w:ascii="微软雅黑" w:hAnsi="微软雅黑"/>
          <w:sz w:val="21"/>
        </w:rPr>
        <w:t>短整数</w:t>
      </w:r>
    </w:p>
    <w:p>
      <w:pPr>
        <w:pStyle w:val="ListBullet"/>
        <w:spacing w:line="360" w:lineRule="auto" w:after="120"/>
      </w:pPr>
      <w:r>
        <w:rPr>
          <w:rFonts w:ascii="微软雅黑" w:hAnsi="微软雅黑"/>
          <w:sz w:val="21"/>
        </w:rPr>
        <w:t>浮点</w:t>
      </w:r>
    </w:p>
    <w:p>
      <w:pPr>
        <w:pStyle w:val="ListBullet"/>
        <w:spacing w:line="360" w:lineRule="auto" w:after="120"/>
      </w:pPr>
      <w:r>
        <w:rPr>
          <w:rFonts w:ascii="微软雅黑" w:hAnsi="微软雅黑"/>
          <w:sz w:val="21"/>
        </w:rPr>
        <w:t>长整数</w:t>
      </w:r>
    </w:p>
    <w:p>
      <w:pPr>
        <w:pStyle w:val="ListBullet"/>
        <w:spacing w:line="360" w:lineRule="auto" w:after="120"/>
      </w:pPr>
      <w:r>
        <w:rPr>
          <w:rFonts w:ascii="微软雅黑" w:hAnsi="微软雅黑"/>
          <w:sz w:val="21"/>
        </w:rPr>
        <w:t>双精度</w:t>
      </w:r>
    </w:p>
    <w:p>
      <w:pPr>
        <w:spacing w:line="360" w:lineRule="auto" w:after="120"/>
      </w:pPr>
      <w:r>
        <w:rPr>
          <w:rFonts w:ascii="微软雅黑" w:hAnsi="微软雅黑"/>
          <w:sz w:val="21"/>
        </w:rPr>
        <w:t>#### 数据清理</w:t>
      </w:r>
    </w:p>
    <w:p>
      <w:pPr>
        <w:spacing w:before="120" w:after="240"/>
        <w:jc w:val="center"/>
      </w:pPr>
      <w:r>
        <w:drawing>
          <wp:inline xmlns:a="http://schemas.openxmlformats.org/drawingml/2006/main" xmlns:pic="http://schemas.openxmlformats.org/drawingml/2006/picture">
            <wp:extent cx="5029200" cy="2844701"/>
            <wp:docPr id="18" name="Picture 18"/>
            <wp:cNvGraphicFramePr>
              <a:graphicFrameLocks noChangeAspect="1"/>
            </wp:cNvGraphicFramePr>
            <a:graphic>
              <a:graphicData uri="http://schemas.openxmlformats.org/drawingml/2006/picture">
                <pic:pic>
                  <pic:nvPicPr>
                    <pic:cNvPr id="0" name="hyperauto-v2-pipeline-config-data-clean.png"/>
                    <pic:cNvPicPr/>
                  </pic:nvPicPr>
                  <pic:blipFill>
                    <a:blip r:embed="rId25"/>
                    <a:stretch>
                      <a:fillRect/>
                    </a:stretch>
                  </pic:blipFill>
                  <pic:spPr>
                    <a:xfrm>
                      <a:off x="0" y="0"/>
                      <a:ext cx="5029200" cy="2844701"/>
                    </a:xfrm>
                    <a:prstGeom prst="rect"/>
                  </pic:spPr>
                </pic:pic>
              </a:graphicData>
            </a:graphic>
          </wp:inline>
        </w:drawing>
      </w:r>
    </w:p>
    <w:p>
      <w:pPr>
        <w:spacing w:line="360" w:lineRule="auto" w:after="120"/>
      </w:pPr>
      <w:r>
        <w:rPr>
          <w:rFonts w:ascii="微软雅黑" w:hAnsi="微软雅黑"/>
          <w:sz w:val="21"/>
        </w:rPr>
        <w:t>数据清理配置选项从所有表中删除常见的数据清洁问题。有关解决的问题类型的更多信息，请参见下文。</w:t>
      </w:r>
    </w:p>
    <w:p>
      <w:pPr>
        <w:pStyle w:val="ListBullet"/>
        <w:spacing w:line="360" w:lineRule="auto" w:after="120"/>
      </w:pPr>
      <w:r>
        <w:rPr>
          <w:rFonts w:ascii="微软雅黑" w:hAnsi="微软雅黑"/>
          <w:b/>
          <w:sz w:val="21"/>
        </w:rPr>
        <w:t>空字符串处理：</w:t>
      </w:r>
      <w:r>
        <w:rPr>
          <w:rFonts w:ascii="微软雅黑" w:hAnsi="微软雅黑"/>
          <w:sz w:val="21"/>
        </w:rPr>
        <w:t xml:space="preserve"> </w:t>
      </w:r>
      <w:r>
        <w:rPr>
          <w:rFonts w:ascii="Consolas" w:hAnsi="Consolas"/>
          <w:color w:val="B43C3C"/>
          <w:sz w:val="18"/>
        </w:rPr>
        <w:t>""</w:t>
      </w:r>
      <w:r>
        <w:rPr>
          <w:rFonts w:ascii="微软雅黑" w:hAnsi="微软雅黑"/>
          <w:sz w:val="21"/>
        </w:rPr>
        <w:t xml:space="preserve"> 字符串被转换为 </w:t>
      </w:r>
      <w:r>
        <w:rPr>
          <w:rFonts w:ascii="Consolas" w:hAnsi="Consolas"/>
          <w:color w:val="B43C3C"/>
          <w:sz w:val="18"/>
        </w:rPr>
        <w:t>null</w:t>
      </w:r>
      <w:r>
        <w:rPr>
          <w:rFonts w:ascii="微软雅黑" w:hAnsi="微软雅黑"/>
          <w:sz w:val="21"/>
        </w:rPr>
        <w:t>（Foundry 数据的标准做法）。</w:t>
      </w:r>
    </w:p>
    <w:p>
      <w:pPr>
        <w:pStyle w:val="ListBullet"/>
        <w:spacing w:line="360" w:lineRule="auto" w:after="120"/>
      </w:pPr>
      <w:r>
        <w:rPr>
          <w:rFonts w:ascii="微软雅黑" w:hAnsi="微软雅黑"/>
          <w:b/>
          <w:sz w:val="21"/>
        </w:rPr>
        <w:t>DECIMAL 转换：</w:t>
      </w:r>
      <w:r>
        <w:rPr>
          <w:rFonts w:ascii="微软雅黑" w:hAnsi="微软雅黑"/>
          <w:sz w:val="21"/>
        </w:rPr>
        <w:t xml:space="preserve"> </w:t>
      </w:r>
      <w:r>
        <w:rPr>
          <w:rFonts w:ascii="Consolas" w:hAnsi="Consolas"/>
          <w:color w:val="B43C3C"/>
          <w:sz w:val="18"/>
        </w:rPr>
        <w:t>DECIMAL</w:t>
      </w:r>
      <w:r>
        <w:rPr>
          <w:rFonts w:ascii="微软雅黑" w:hAnsi="微软雅黑"/>
          <w:sz w:val="21"/>
        </w:rPr>
        <w:t xml:space="preserve"> 数据类型被转换为 </w:t>
      </w:r>
      <w:r>
        <w:rPr>
          <w:rFonts w:ascii="Consolas" w:hAnsi="Consolas"/>
          <w:color w:val="B43C3C"/>
          <w:sz w:val="18"/>
        </w:rPr>
        <w:t>DOUBLE</w:t>
      </w:r>
      <w:r>
        <w:rPr>
          <w:rFonts w:ascii="微软雅黑" w:hAnsi="微软雅黑"/>
          <w:sz w:val="21"/>
        </w:rPr>
        <w:t>，在整个平台上具有好处（包括启用对 Ontology 属性的支持）。</w:t>
      </w:r>
    </w:p>
    <w:p>
      <w:r>
        <w:br w:type="page"/>
      </w:r>
    </w:p>
    <w:p>
      <w:pPr>
        <w:pStyle w:val="Heading1"/>
      </w:pPr>
      <w:r>
        <w:rPr>
          <w:rFonts w:ascii="微软雅黑" w:hAnsi="微软雅黑"/>
        </w:rPr>
        <w:t>基于文件夹的SAP数据管道</w:t>
      </w:r>
    </w:p>
    <w:p>
      <w:pPr>
        <w:spacing w:line="360" w:lineRule="auto" w:after="120"/>
      </w:pPr>
      <w:r>
        <w:rPr>
          <w:rFonts w:ascii="微软雅黑" w:hAnsi="微软雅黑"/>
          <w:sz w:val="21"/>
        </w:rPr>
        <w:t># 基于文件夹的SAP数据管道</w:t>
      </w:r>
    </w:p>
    <w:p>
      <w:pPr>
        <w:spacing w:line="360" w:lineRule="auto" w:after="120"/>
      </w:pPr>
      <w:r>
        <w:rPr>
          <w:rFonts w:ascii="微软雅黑" w:hAnsi="微软雅黑"/>
          <w:sz w:val="21"/>
        </w:rPr>
        <w:t>HyperAuto V2 还支持从SAP数据创建数据管道，而无需直接连接到SAP。这提供了灵活性，能够支持多种架构，包括源镜像、静态数据提取和预筛选数据。</w:t>
      </w:r>
    </w:p>
    <w:p>
      <w:pPr>
        <w:pStyle w:val="Heading2"/>
      </w:pPr>
      <w:r>
        <w:rPr>
          <w:rFonts w:ascii="微软雅黑" w:hAnsi="微软雅黑"/>
        </w:rPr>
        <w:t>为SAP静态数据设置HyperAuto V2数据管道</w:t>
      </w:r>
    </w:p>
    <w:p>
      <w:pPr>
        <w:spacing w:line="360" w:lineRule="auto" w:after="120"/>
      </w:pPr>
      <w:r>
        <w:rPr>
          <w:rFonts w:ascii="微软雅黑" w:hAnsi="微软雅黑"/>
          <w:sz w:val="21"/>
        </w:rPr>
        <w:t>要在SAP数据集上创建HyperAuto V2数据管道，请设置一个包含以下内容的单个Foundry文件夹：</w:t>
      </w:r>
    </w:p>
    <w:p>
      <w:pPr>
        <w:pStyle w:val="ListBullet"/>
        <w:spacing w:line="360" w:lineRule="auto" w:after="120"/>
      </w:pPr>
      <w:r>
        <w:rPr>
          <w:rFonts w:ascii="微软雅黑" w:hAnsi="微软雅黑"/>
          <w:sz w:val="21"/>
        </w:rPr>
        <w:t>输入表数据集（每个SAP表一个数据集）</w:t>
      </w:r>
    </w:p>
    <w:p>
      <w:pPr>
        <w:pStyle w:val="ListBullet"/>
        <w:spacing w:line="360" w:lineRule="auto" w:after="120"/>
      </w:pPr>
      <w:r>
        <w:rPr>
          <w:rFonts w:ascii="微软雅黑" w:hAnsi="微软雅黑"/>
          <w:sz w:val="21"/>
        </w:rPr>
        <w:t>数据字典表</w:t>
      </w:r>
    </w:p>
    <w:p>
      <w:pPr>
        <w:spacing w:line="360" w:lineRule="auto" w:after="120"/>
      </w:pPr>
      <w:r>
        <w:rPr>
          <w:rFonts w:ascii="微软雅黑" w:hAnsi="微软雅黑"/>
          <w:sz w:val="21"/>
        </w:rPr>
        <w:t>将所有数据集直接放置在同一文件夹中，以确保自动检测功能正常工作，并最小化数据管道创建步骤。通过SAP表名（例如，</w:t>
      </w:r>
      <w:r>
        <w:rPr>
          <w:rFonts w:ascii="Consolas" w:hAnsi="Consolas"/>
          <w:color w:val="B43C3C"/>
          <w:sz w:val="18"/>
        </w:rPr>
        <w:t>MARA</w:t>
      </w:r>
      <w:r>
        <w:rPr>
          <w:rFonts w:ascii="微软雅黑" w:hAnsi="微软雅黑"/>
          <w:sz w:val="21"/>
        </w:rPr>
        <w:t>）命名输入表数据集，将有助于自动映射过程并减少所需的手动步骤数量。</w:t>
      </w:r>
    </w:p>
    <w:p>
      <w:pPr>
        <w:spacing w:line="360" w:lineRule="auto" w:after="120"/>
      </w:pPr>
      <w:r>
        <w:rPr>
          <w:rFonts w:ascii="微软雅黑" w:hAnsi="微软雅黑"/>
          <w:sz w:val="21"/>
        </w:rPr>
        <w:t>数据需要是原始SAP表的未变换提取，包含其技术列名。</w:t>
      </w:r>
    </w:p>
    <w:p>
      <w:pPr>
        <w:pStyle w:val="Heading3"/>
      </w:pPr>
      <w:r>
        <w:rPr>
          <w:rFonts w:ascii="微软雅黑" w:hAnsi="微软雅黑"/>
        </w:rPr>
        <w:t>数据字典表</w:t>
      </w:r>
    </w:p>
    <w:p>
      <w:pPr>
        <w:spacing w:line="360" w:lineRule="auto" w:after="120"/>
      </w:pPr>
      <w:r>
        <w:rPr>
          <w:rFonts w:ascii="微软雅黑" w:hAnsi="微软雅黑"/>
          <w:sz w:val="21"/>
        </w:rPr>
        <w:t>数据字典表包含来自SAP的必要元数据，HyperAuto利用这些元数据生成数据管道，包括表和列的描述，以及表之间关系的描述。</w:t>
      </w:r>
    </w:p>
    <w:p>
      <w:pPr>
        <w:spacing w:line="360" w:lineRule="auto" w:after="120"/>
      </w:pPr>
      <w:r>
        <w:rPr>
          <w:rFonts w:ascii="微软雅黑" w:hAnsi="微软雅黑"/>
          <w:sz w:val="21"/>
        </w:rPr>
        <w:t>创建基于文件夹的SAP HyperAuto数据管道所需的数据字典表包括：</w:t>
      </w:r>
    </w:p>
    <w:p>
      <w:pPr>
        <w:pStyle w:val="ListBullet"/>
        <w:spacing w:line="360" w:lineRule="auto" w:after="120"/>
      </w:pPr>
      <w:r>
        <w:rPr>
          <w:rFonts w:ascii="微软雅黑" w:hAnsi="微软雅黑"/>
          <w:b/>
          <w:sz w:val="21"/>
        </w:rPr>
        <w:t>DD02L</w:t>
      </w:r>
      <w:r>
        <w:rPr>
          <w:rFonts w:ascii="微软雅黑" w:hAnsi="微软雅黑"/>
          <w:sz w:val="21"/>
        </w:rPr>
        <w:t>（SAP系统中表的详细信息）</w:t>
      </w:r>
    </w:p>
    <w:p>
      <w:pPr>
        <w:pStyle w:val="ListBullet"/>
        <w:spacing w:line="360" w:lineRule="auto" w:after="120"/>
      </w:pPr>
      <w:r>
        <w:rPr>
          <w:rFonts w:ascii="微软雅黑" w:hAnsi="微软雅黑"/>
          <w:b/>
          <w:sz w:val="21"/>
        </w:rPr>
        <w:t>DD02T</w:t>
      </w:r>
      <w:r>
        <w:rPr>
          <w:rFonts w:ascii="微软雅黑" w:hAnsi="微软雅黑"/>
          <w:sz w:val="21"/>
        </w:rPr>
        <w:t>（不同语言中表的描述文本和标签）</w:t>
      </w:r>
    </w:p>
    <w:p>
      <w:pPr>
        <w:pStyle w:val="ListBullet"/>
        <w:spacing w:line="360" w:lineRule="auto" w:after="120"/>
      </w:pPr>
      <w:r>
        <w:rPr>
          <w:rFonts w:ascii="微软雅黑" w:hAnsi="微软雅黑"/>
          <w:b/>
          <w:sz w:val="21"/>
        </w:rPr>
        <w:t>DD03L</w:t>
      </w:r>
      <w:r>
        <w:rPr>
          <w:rFonts w:ascii="微软雅黑" w:hAnsi="微软雅黑"/>
          <w:sz w:val="21"/>
        </w:rPr>
        <w:t>（字段定义、数据类型和长度）</w:t>
      </w:r>
    </w:p>
    <w:p>
      <w:pPr>
        <w:pStyle w:val="ListBullet"/>
        <w:spacing w:line="360" w:lineRule="auto" w:after="120"/>
      </w:pPr>
      <w:r>
        <w:rPr>
          <w:rFonts w:ascii="微软雅黑" w:hAnsi="微软雅黑"/>
          <w:b/>
          <w:sz w:val="21"/>
        </w:rPr>
        <w:t>DD04T</w:t>
      </w:r>
      <w:r>
        <w:rPr>
          <w:rFonts w:ascii="微软雅黑" w:hAnsi="微软雅黑"/>
          <w:sz w:val="21"/>
        </w:rPr>
        <w:t>（多种语言中的数据元素描述和标签）</w:t>
      </w:r>
    </w:p>
    <w:p>
      <w:pPr>
        <w:pStyle w:val="ListBullet"/>
        <w:spacing w:line="360" w:lineRule="auto" w:after="120"/>
      </w:pPr>
      <w:r>
        <w:rPr>
          <w:rFonts w:ascii="微软雅黑" w:hAnsi="微软雅黑"/>
          <w:b/>
          <w:sz w:val="21"/>
        </w:rPr>
        <w:t>DD05S</w:t>
      </w:r>
      <w:r>
        <w:rPr>
          <w:rFonts w:ascii="微软雅黑" w:hAnsi="微软雅黑"/>
          <w:sz w:val="21"/>
        </w:rPr>
        <w:t>（外键关系的详细信息，包括父表和子表字段）</w:t>
      </w:r>
    </w:p>
    <w:p>
      <w:pPr>
        <w:pStyle w:val="ListBullet"/>
        <w:spacing w:line="360" w:lineRule="auto" w:after="120"/>
      </w:pPr>
      <w:r>
        <w:rPr>
          <w:rFonts w:ascii="微软雅黑" w:hAnsi="微软雅黑"/>
          <w:b/>
          <w:sz w:val="21"/>
        </w:rPr>
        <w:t>DD08L</w:t>
      </w:r>
      <w:r>
        <w:rPr>
          <w:rFonts w:ascii="微软雅黑" w:hAnsi="微软雅黑"/>
          <w:sz w:val="21"/>
        </w:rPr>
        <w:t>（SAP系统中表之间外键关系的元数据）</w:t>
      </w:r>
    </w:p>
    <w:p>
      <w:pPr>
        <w:spacing w:line="360" w:lineRule="auto" w:after="120"/>
      </w:pPr>
      <w:r>
        <w:rPr>
          <w:rFonts w:ascii="微软雅黑" w:hAnsi="微软雅黑"/>
          <w:sz w:val="21"/>
        </w:rPr>
        <w:t>数据字典表必须是其原始格式且</w:t>
      </w:r>
      <w:r>
        <w:rPr>
          <w:rFonts w:ascii="微软雅黑" w:hAnsi="微软雅黑"/>
          <w:b/>
          <w:sz w:val="21"/>
        </w:rPr>
        <w:t>未筛选</w:t>
      </w:r>
      <w:r>
        <w:rPr>
          <w:rFonts w:ascii="微软雅黑" w:hAnsi="微软雅黑"/>
          <w:sz w:val="21"/>
        </w:rPr>
        <w:t>的，以确保HyperAuto正常工作。</w:t>
      </w:r>
    </w:p>
    <w:p>
      <w:pPr>
        <w:pStyle w:val="Heading3"/>
      </w:pPr>
      <w:r>
        <w:rPr>
          <w:rFonts w:ascii="微软雅黑" w:hAnsi="微软雅黑"/>
        </w:rPr>
        <w:t>示例</w:t>
      </w:r>
    </w:p>
    <w:p>
      <w:pPr>
        <w:spacing w:line="360" w:lineRule="auto" w:after="120"/>
      </w:pPr>
      <w:r>
        <w:rPr>
          <w:rFonts w:ascii="微软雅黑" w:hAnsi="微软雅黑"/>
          <w:sz w:val="21"/>
        </w:rPr>
        <w:t>要在SAP系统的</w:t>
      </w:r>
      <w:r>
        <w:rPr>
          <w:rFonts w:ascii="Consolas" w:hAnsi="Consolas"/>
          <w:color w:val="B43C3C"/>
          <w:sz w:val="18"/>
        </w:rPr>
        <w:t>MARA</w:t>
      </w:r>
      <w:r>
        <w:rPr>
          <w:rFonts w:ascii="微软雅黑" w:hAnsi="微软雅黑"/>
          <w:sz w:val="21"/>
        </w:rPr>
        <w:t>和</w:t>
      </w:r>
      <w:r>
        <w:rPr>
          <w:rFonts w:ascii="Consolas" w:hAnsi="Consolas"/>
          <w:color w:val="B43C3C"/>
          <w:sz w:val="18"/>
        </w:rPr>
        <w:t>MAKT</w:t>
      </w:r>
      <w:r>
        <w:rPr>
          <w:rFonts w:ascii="微软雅黑" w:hAnsi="微软雅黑"/>
          <w:sz w:val="21"/>
        </w:rPr>
        <w:t>表上创建一个基本的HyperAuto数据管道，创建一个包含以下数据集的文件夹：</w:t>
      </w:r>
    </w:p>
    <w:p>
      <w:pPr>
        <w:spacing w:before="120" w:after="240"/>
        <w:jc w:val="center"/>
      </w:pPr>
      <w:r>
        <w:drawing>
          <wp:inline xmlns:a="http://schemas.openxmlformats.org/drawingml/2006/main" xmlns:pic="http://schemas.openxmlformats.org/drawingml/2006/picture">
            <wp:extent cx="5029200" cy="2000912"/>
            <wp:docPr id="19" name="Picture 19"/>
            <wp:cNvGraphicFramePr>
              <a:graphicFrameLocks noChangeAspect="1"/>
            </wp:cNvGraphicFramePr>
            <a:graphic>
              <a:graphicData uri="http://schemas.openxmlformats.org/drawingml/2006/picture">
                <pic:pic>
                  <pic:nvPicPr>
                    <pic:cNvPr id="0" name="folder-based-sap-source-example.png"/>
                    <pic:cNvPicPr/>
                  </pic:nvPicPr>
                  <pic:blipFill>
                    <a:blip r:embed="rId26"/>
                    <a:stretch>
                      <a:fillRect/>
                    </a:stretch>
                  </pic:blipFill>
                  <pic:spPr>
                    <a:xfrm>
                      <a:off x="0" y="0"/>
                      <a:ext cx="5029200" cy="2000912"/>
                    </a:xfrm>
                    <a:prstGeom prst="rect"/>
                  </pic:spPr>
                </pic:pic>
              </a:graphicData>
            </a:graphic>
          </wp:inline>
        </w:drawing>
      </w:r>
    </w:p>
    <w:p>
      <w:pPr>
        <w:pStyle w:val="Heading2"/>
      </w:pPr>
      <w:r>
        <w:rPr>
          <w:rFonts w:ascii="微软雅黑" w:hAnsi="微软雅黑"/>
        </w:rPr>
        <w:t>创建基于文件夹的数据管道</w:t>
      </w:r>
    </w:p>
    <w:p>
      <w:pPr>
        <w:pStyle w:val="ListNumber"/>
        <w:spacing w:line="360" w:lineRule="auto" w:after="120"/>
      </w:pPr>
      <w:r>
        <w:rPr>
          <w:rFonts w:ascii="微软雅黑" w:hAnsi="微软雅黑"/>
          <w:sz w:val="21"/>
        </w:rPr>
        <w:t>一旦您</w:t>
      </w:r>
      <w:r>
        <w:rPr>
          <w:rFonts w:ascii="微软雅黑" w:hAnsi="微软雅黑"/>
          <w:color w:val="0066CC"/>
          <w:sz w:val="21"/>
          <w:u w:val="single"/>
        </w:rPr>
        <w:t>设置好输入文件夹</w:t>
      </w:r>
      <w:r>
        <w:rPr>
          <w:rFonts w:ascii="微软雅黑" w:hAnsi="微软雅黑"/>
          <w:sz w:val="21"/>
        </w:rPr>
        <w:t>，导航到HyperAuto主页以创建新的数据管道。这可以通过Foundry左侧边栏中的应用程序浏览器找到。</w:t>
      </w:r>
    </w:p>
    <w:p>
      <w:pPr>
        <w:spacing w:before="120" w:after="240"/>
        <w:jc w:val="center"/>
      </w:pPr>
      <w:r>
        <w:drawing>
          <wp:inline xmlns:a="http://schemas.openxmlformats.org/drawingml/2006/main" xmlns:pic="http://schemas.openxmlformats.org/drawingml/2006/picture">
            <wp:extent cx="5029200" cy="1391157"/>
            <wp:docPr id="20" name="Picture 20"/>
            <wp:cNvGraphicFramePr>
              <a:graphicFrameLocks noChangeAspect="1"/>
            </wp:cNvGraphicFramePr>
            <a:graphic>
              <a:graphicData uri="http://schemas.openxmlformats.org/drawingml/2006/picture">
                <pic:pic>
                  <pic:nvPicPr>
                    <pic:cNvPr id="0" name="hyperauto-v2-open-app.png"/>
                    <pic:cNvPicPr/>
                  </pic:nvPicPr>
                  <pic:blipFill>
                    <a:blip r:embed="rId27"/>
                    <a:stretch>
                      <a:fillRect/>
                    </a:stretch>
                  </pic:blipFill>
                  <pic:spPr>
                    <a:xfrm>
                      <a:off x="0" y="0"/>
                      <a:ext cx="5029200" cy="1391157"/>
                    </a:xfrm>
                    <a:prstGeom prst="rect"/>
                  </pic:spPr>
                </pic:pic>
              </a:graphicData>
            </a:graphic>
          </wp:inline>
        </w:drawing>
      </w:r>
    </w:p>
    <w:p>
      <w:pPr>
        <w:pStyle w:val="ListNumber"/>
        <w:spacing w:line="360" w:lineRule="auto" w:after="120"/>
      </w:pPr>
      <w:r>
        <w:rPr>
          <w:rFonts w:ascii="微软雅黑" w:hAnsi="微软雅黑"/>
          <w:sz w:val="21"/>
        </w:rPr>
        <w:t>点击\*\*+ 创建数据管道\*\*以打开创建数据管道对话框。</w:t>
      </w:r>
    </w:p>
    <w:p>
      <w:pPr>
        <w:spacing w:before="120" w:after="240"/>
        <w:jc w:val="center"/>
      </w:pPr>
      <w:r>
        <w:drawing>
          <wp:inline xmlns:a="http://schemas.openxmlformats.org/drawingml/2006/main" xmlns:pic="http://schemas.openxmlformats.org/drawingml/2006/picture">
            <wp:extent cx="5029200" cy="1080704"/>
            <wp:docPr id="21" name="Picture 21"/>
            <wp:cNvGraphicFramePr>
              <a:graphicFrameLocks noChangeAspect="1"/>
            </wp:cNvGraphicFramePr>
            <a:graphic>
              <a:graphicData uri="http://schemas.openxmlformats.org/drawingml/2006/picture">
                <pic:pic>
                  <pic:nvPicPr>
                    <pic:cNvPr id="0" name="hyperauto-v2-app-create.png"/>
                    <pic:cNvPicPr/>
                  </pic:nvPicPr>
                  <pic:blipFill>
                    <a:blip r:embed="rId28"/>
                    <a:stretch>
                      <a:fillRect/>
                    </a:stretch>
                  </pic:blipFill>
                  <pic:spPr>
                    <a:xfrm>
                      <a:off x="0" y="0"/>
                      <a:ext cx="5029200" cy="1080704"/>
                    </a:xfrm>
                    <a:prstGeom prst="rect"/>
                  </pic:spPr>
                </pic:pic>
              </a:graphicData>
            </a:graphic>
          </wp:inline>
        </w:drawing>
      </w:r>
    </w:p>
    <w:p>
      <w:pPr>
        <w:pStyle w:val="ListNumber"/>
        <w:spacing w:line="360" w:lineRule="auto" w:after="120"/>
      </w:pPr>
      <w:r>
        <w:rPr>
          <w:rFonts w:ascii="微软雅黑" w:hAnsi="微软雅黑"/>
          <w:sz w:val="21"/>
        </w:rPr>
        <w:t>在这里，您可以选择创建一个典型的数据管道（这将需要实时SAP连接）或基于文件夹的SAP数据管道。选择“文件夹（仅SAP）”并通过点击</w:t>
      </w:r>
      <w:r>
        <w:rPr>
          <w:rFonts w:ascii="微软雅黑" w:hAnsi="微软雅黑"/>
          <w:b/>
          <w:sz w:val="21"/>
        </w:rPr>
        <w:t>浏览</w:t>
      </w:r>
      <w:r>
        <w:rPr>
          <w:rFonts w:ascii="微软雅黑" w:hAnsi="微软雅黑"/>
          <w:sz w:val="21"/>
        </w:rPr>
        <w:t>选择您的</w:t>
      </w:r>
      <w:r>
        <w:rPr>
          <w:rFonts w:ascii="微软雅黑" w:hAnsi="微软雅黑"/>
          <w:color w:val="0066CC"/>
          <w:sz w:val="21"/>
          <w:u w:val="single"/>
        </w:rPr>
        <w:t>输入文件夹</w:t>
      </w:r>
      <w:r>
        <w:rPr>
          <w:rFonts w:ascii="微软雅黑" w:hAnsi="微软雅黑"/>
          <w:sz w:val="21"/>
        </w:rPr>
        <w:t>。</w:t>
      </w:r>
    </w:p>
    <w:p>
      <w:pPr>
        <w:spacing w:line="360" w:lineRule="auto" w:after="120"/>
      </w:pPr>
      <w:r>
        <w:rPr>
          <w:rFonts w:ascii="微软雅黑" w:hAnsi="微软雅黑"/>
          <w:sz w:val="21"/>
        </w:rPr>
        <w:t>点击</w:t>
      </w:r>
      <w:r>
        <w:rPr>
          <w:rFonts w:ascii="微软雅黑" w:hAnsi="微软雅黑"/>
          <w:b/>
          <w:sz w:val="21"/>
        </w:rPr>
        <w:t>创建数据管道</w:t>
      </w:r>
      <w:r>
        <w:rPr>
          <w:rFonts w:ascii="微软雅黑" w:hAnsi="微软雅黑"/>
          <w:sz w:val="21"/>
        </w:rPr>
        <w:t>以进入HyperAuto数据管道创建向导。</w:t>
      </w:r>
    </w:p>
    <w:p>
      <w:pPr>
        <w:spacing w:before="120" w:after="240"/>
        <w:jc w:val="center"/>
      </w:pPr>
      <w:r>
        <w:drawing>
          <wp:inline xmlns:a="http://schemas.openxmlformats.org/drawingml/2006/main" xmlns:pic="http://schemas.openxmlformats.org/drawingml/2006/picture">
            <wp:extent cx="5029200" cy="2362101"/>
            <wp:docPr id="22" name="Picture 22"/>
            <wp:cNvGraphicFramePr>
              <a:graphicFrameLocks noChangeAspect="1"/>
            </wp:cNvGraphicFramePr>
            <a:graphic>
              <a:graphicData uri="http://schemas.openxmlformats.org/drawingml/2006/picture">
                <pic:pic>
                  <pic:nvPicPr>
                    <pic:cNvPr id="0" name="hyperauto-v2-create-folder-based.png"/>
                    <pic:cNvPicPr/>
                  </pic:nvPicPr>
                  <pic:blipFill>
                    <a:blip r:embed="rId29"/>
                    <a:stretch>
                      <a:fillRect/>
                    </a:stretch>
                  </pic:blipFill>
                  <pic:spPr>
                    <a:xfrm>
                      <a:off x="0" y="0"/>
                      <a:ext cx="5029200" cy="2362101"/>
                    </a:xfrm>
                    <a:prstGeom prst="rect"/>
                  </pic:spPr>
                </pic:pic>
              </a:graphicData>
            </a:graphic>
          </wp:inline>
        </w:drawing>
      </w:r>
    </w:p>
    <w:p>
      <w:pPr>
        <w:pStyle w:val="Heading3"/>
      </w:pPr>
      <w:r>
        <w:rPr>
          <w:rFonts w:ascii="微软雅黑" w:hAnsi="微软雅黑"/>
        </w:rPr>
        <w:t>设置向导</w:t>
      </w:r>
    </w:p>
    <w:p>
      <w:pPr>
        <w:pStyle w:val="ListNumber"/>
        <w:spacing w:line="360" w:lineRule="auto" w:after="120"/>
      </w:pPr>
      <w:r>
        <w:rPr>
          <w:rFonts w:ascii="微软雅黑" w:hAnsi="微软雅黑"/>
          <w:sz w:val="21"/>
        </w:rPr>
        <w:t>现在，您将定义基本的数据管道配置，类似于基于源的数据管道。</w:t>
      </w:r>
    </w:p>
    <w:p>
      <w:pPr>
        <w:spacing w:line="360" w:lineRule="auto" w:after="120"/>
      </w:pPr>
      <w:r>
        <w:rPr>
          <w:rFonts w:ascii="微软雅黑" w:hAnsi="微软雅黑"/>
          <w:sz w:val="21"/>
        </w:rPr>
        <w:t>首先，为数据管道选择一个有效的名称和位置。</w:t>
      </w:r>
    </w:p>
    <w:p>
      <w:pPr>
        <w:spacing w:before="120" w:after="240"/>
        <w:jc w:val="center"/>
      </w:pPr>
      <w:r>
        <w:drawing>
          <wp:inline xmlns:a="http://schemas.openxmlformats.org/drawingml/2006/main" xmlns:pic="http://schemas.openxmlformats.org/drawingml/2006/picture">
            <wp:extent cx="5029200" cy="3008299"/>
            <wp:docPr id="23" name="Picture 23"/>
            <wp:cNvGraphicFramePr>
              <a:graphicFrameLocks noChangeAspect="1"/>
            </wp:cNvGraphicFramePr>
            <a:graphic>
              <a:graphicData uri="http://schemas.openxmlformats.org/drawingml/2006/picture">
                <pic:pic>
                  <pic:nvPicPr>
                    <pic:cNvPr id="0" name="hyperauto-v2-fb-wizard-name.png"/>
                    <pic:cNvPicPr/>
                  </pic:nvPicPr>
                  <pic:blipFill>
                    <a:blip r:embed="rId30"/>
                    <a:stretch>
                      <a:fillRect/>
                    </a:stretch>
                  </pic:blipFill>
                  <pic:spPr>
                    <a:xfrm>
                      <a:off x="0" y="0"/>
                      <a:ext cx="5029200" cy="3008299"/>
                    </a:xfrm>
                    <a:prstGeom prst="rect"/>
                  </pic:spPr>
                </pic:pic>
              </a:graphicData>
            </a:graphic>
          </wp:inline>
        </w:drawing>
      </w:r>
    </w:p>
    <w:p>
      <w:pPr>
        <w:pStyle w:val="ListNumber"/>
        <w:spacing w:line="360" w:lineRule="auto" w:after="120"/>
      </w:pPr>
      <w:r>
        <w:rPr>
          <w:rFonts w:ascii="微软雅黑" w:hAnsi="微软雅黑"/>
          <w:sz w:val="21"/>
        </w:rPr>
        <w:t>源配置步骤确保HyperAuto知道数据字典表，以便它可以读取必要的元数据来搭建数据管道。</w:t>
      </w:r>
    </w:p>
    <w:p>
      <w:pPr>
        <w:spacing w:line="360" w:lineRule="auto" w:after="120"/>
      </w:pPr>
      <w:r>
        <w:rPr>
          <w:rFonts w:ascii="微软雅黑" w:hAnsi="微软雅黑"/>
          <w:sz w:val="21"/>
        </w:rPr>
        <w:t>如果输入设置正确，这些将被自动映射。否则，在继续之前手动映射每个元数据表。</w:t>
      </w:r>
    </w:p>
    <w:p>
      <w:pPr>
        <w:spacing w:before="120" w:after="240"/>
        <w:jc w:val="center"/>
      </w:pPr>
      <w:r>
        <w:drawing>
          <wp:inline xmlns:a="http://schemas.openxmlformats.org/drawingml/2006/main" xmlns:pic="http://schemas.openxmlformats.org/drawingml/2006/picture">
            <wp:extent cx="5029200" cy="3008299"/>
            <wp:docPr id="24" name="Picture 24"/>
            <wp:cNvGraphicFramePr>
              <a:graphicFrameLocks noChangeAspect="1"/>
            </wp:cNvGraphicFramePr>
            <a:graphic>
              <a:graphicData uri="http://schemas.openxmlformats.org/drawingml/2006/picture">
                <pic:pic>
                  <pic:nvPicPr>
                    <pic:cNvPr id="0" name="hyperauto-v2-fb-wizard-source-config.png"/>
                    <pic:cNvPicPr/>
                  </pic:nvPicPr>
                  <pic:blipFill>
                    <a:blip r:embed="rId31"/>
                    <a:stretch>
                      <a:fillRect/>
                    </a:stretch>
                  </pic:blipFill>
                  <pic:spPr>
                    <a:xfrm>
                      <a:off x="0" y="0"/>
                      <a:ext cx="5029200" cy="3008299"/>
                    </a:xfrm>
                    <a:prstGeom prst="rect"/>
                  </pic:spPr>
                </pic:pic>
              </a:graphicData>
            </a:graphic>
          </wp:inline>
        </w:drawing>
      </w:r>
    </w:p>
    <w:p>
      <w:pPr>
        <w:pStyle w:val="ListNumber"/>
        <w:spacing w:line="360" w:lineRule="auto" w:after="120"/>
      </w:pPr>
      <w:r>
        <w:rPr>
          <w:rFonts w:ascii="微软雅黑" w:hAnsi="微软雅黑"/>
          <w:sz w:val="21"/>
        </w:rPr>
        <w:t>下一步是选择要处理的输入。默认情况下，仅显示可发现的输入（那些在输入文件夹中按名称直接匹配的数据集）在输入选择界面中。</w:t>
      </w:r>
    </w:p>
    <w:p>
      <w:pPr>
        <w:spacing w:before="120" w:after="240"/>
        <w:jc w:val="center"/>
      </w:pPr>
      <w:r>
        <w:drawing>
          <wp:inline xmlns:a="http://schemas.openxmlformats.org/drawingml/2006/main" xmlns:pic="http://schemas.openxmlformats.org/drawingml/2006/picture">
            <wp:extent cx="5029200" cy="3008299"/>
            <wp:docPr id="25" name="Picture 25"/>
            <wp:cNvGraphicFramePr>
              <a:graphicFrameLocks noChangeAspect="1"/>
            </wp:cNvGraphicFramePr>
            <a:graphic>
              <a:graphicData uri="http://schemas.openxmlformats.org/drawingml/2006/picture">
                <pic:pic>
                  <pic:nvPicPr>
                    <pic:cNvPr id="0" name="hyperauto-v2-fb-wizard-input-config-discovered.png"/>
                    <pic:cNvPicPr/>
                  </pic:nvPicPr>
                  <pic:blipFill>
                    <a:blip r:embed="rId32"/>
                    <a:stretch>
                      <a:fillRect/>
                    </a:stretch>
                  </pic:blipFill>
                  <pic:spPr>
                    <a:xfrm>
                      <a:off x="0" y="0"/>
                      <a:ext cx="5029200" cy="3008299"/>
                    </a:xfrm>
                    <a:prstGeom prst="rect"/>
                  </pic:spPr>
                </pic:pic>
              </a:graphicData>
            </a:graphic>
          </wp:inline>
        </w:drawing>
      </w:r>
    </w:p>
    <w:p>
      <w:pPr>
        <w:spacing w:line="360" w:lineRule="auto" w:after="120"/>
      </w:pPr>
      <w:r>
        <w:rPr>
          <w:rFonts w:ascii="微软雅黑" w:hAnsi="微软雅黑"/>
          <w:sz w:val="21"/>
        </w:rPr>
        <w:t>若要显示所有可用表（基于数据字典表）点击</w:t>
      </w:r>
      <w:r>
        <w:rPr>
          <w:rFonts w:ascii="微软雅黑" w:hAnsi="微软雅黑"/>
          <w:b/>
          <w:sz w:val="21"/>
        </w:rPr>
        <w:t>显示未发现的表</w:t>
      </w:r>
      <w:r>
        <w:rPr>
          <w:rFonts w:ascii="微软雅黑" w:hAnsi="微软雅黑"/>
          <w:sz w:val="21"/>
        </w:rPr>
        <w:t>。</w:t>
      </w:r>
    </w:p>
    <w:p>
      <w:pPr>
        <w:spacing w:line="360" w:lineRule="auto" w:after="120"/>
      </w:pPr>
      <w:r>
        <w:rPr>
          <w:rFonts w:ascii="微软雅黑" w:hAnsi="微软雅黑"/>
          <w:sz w:val="21"/>
        </w:rPr>
        <w:t>添加一个未发现的表将需要您手动将输入映射到适当的Foundry数据集，以便将其用作输入。</w:t>
      </w:r>
    </w:p>
    <w:p>
      <w:pPr>
        <w:spacing w:before="120" w:after="240"/>
        <w:jc w:val="center"/>
      </w:pPr>
      <w:r>
        <w:drawing>
          <wp:inline xmlns:a="http://schemas.openxmlformats.org/drawingml/2006/main" xmlns:pic="http://schemas.openxmlformats.org/drawingml/2006/picture">
            <wp:extent cx="5029200" cy="3008299"/>
            <wp:docPr id="26" name="Picture 26"/>
            <wp:cNvGraphicFramePr>
              <a:graphicFrameLocks noChangeAspect="1"/>
            </wp:cNvGraphicFramePr>
            <a:graphic>
              <a:graphicData uri="http://schemas.openxmlformats.org/drawingml/2006/picture">
                <pic:pic>
                  <pic:nvPicPr>
                    <pic:cNvPr id="0" name="hyperauto-v2-fb-wizard-input-config-all.png"/>
                    <pic:cNvPicPr/>
                  </pic:nvPicPr>
                  <pic:blipFill>
                    <a:blip r:embed="rId33"/>
                    <a:stretch>
                      <a:fillRect/>
                    </a:stretch>
                  </pic:blipFill>
                  <pic:spPr>
                    <a:xfrm>
                      <a:off x="0" y="0"/>
                      <a:ext cx="5029200" cy="3008299"/>
                    </a:xfrm>
                    <a:prstGeom prst="rect"/>
                  </pic:spPr>
                </pic:pic>
              </a:graphicData>
            </a:graphic>
          </wp:inline>
        </w:drawing>
      </w:r>
    </w:p>
    <w:p>
      <w:pPr>
        <w:spacing w:line="360" w:lineRule="auto" w:after="120"/>
      </w:pPr>
      <w:r>
        <w:rPr>
          <w:rFonts w:ascii="微软雅黑" w:hAnsi="微软雅黑"/>
          <w:sz w:val="21"/>
        </w:rPr>
        <w:t>创建一个未映射输入的数据管道将导致该输入被忽略。</w:t>
      </w:r>
    </w:p>
    <w:p>
      <w:pPr>
        <w:pStyle w:val="ListNumber"/>
        <w:spacing w:line="360" w:lineRule="auto" w:after="120"/>
      </w:pPr>
      <w:r>
        <w:rPr>
          <w:rFonts w:ascii="微软雅黑" w:hAnsi="微软雅黑"/>
          <w:sz w:val="21"/>
        </w:rPr>
        <w:t>根据需要选择数据管道配置，然后点击</w:t>
      </w:r>
      <w:r>
        <w:rPr>
          <w:rFonts w:ascii="微软雅黑" w:hAnsi="微软雅黑"/>
          <w:b/>
          <w:sz w:val="21"/>
        </w:rPr>
        <w:t>创建HyperAuto数据管道</w:t>
      </w:r>
      <w:r>
        <w:rPr>
          <w:rFonts w:ascii="微软雅黑" w:hAnsi="微软雅黑"/>
          <w:sz w:val="21"/>
        </w:rPr>
        <w:t>以完成向导并触发数据管道创建。</w:t>
      </w:r>
    </w:p>
    <w:p>
      <w:pPr>
        <w:spacing w:before="120" w:after="240"/>
        <w:jc w:val="center"/>
      </w:pPr>
      <w:r>
        <w:drawing>
          <wp:inline xmlns:a="http://schemas.openxmlformats.org/drawingml/2006/main" xmlns:pic="http://schemas.openxmlformats.org/drawingml/2006/picture">
            <wp:extent cx="5029200" cy="3008299"/>
            <wp:docPr id="27" name="Picture 27"/>
            <wp:cNvGraphicFramePr>
              <a:graphicFrameLocks noChangeAspect="1"/>
            </wp:cNvGraphicFramePr>
            <a:graphic>
              <a:graphicData uri="http://schemas.openxmlformats.org/drawingml/2006/picture">
                <pic:pic>
                  <pic:nvPicPr>
                    <pic:cNvPr id="0" name="hyperauto-v2-fb-wizard-pipeline-config.png"/>
                    <pic:cNvPicPr/>
                  </pic:nvPicPr>
                  <pic:blipFill>
                    <a:blip r:embed="rId34"/>
                    <a:stretch>
                      <a:fillRect/>
                    </a:stretch>
                  </pic:blipFill>
                  <pic:spPr>
                    <a:xfrm>
                      <a:off x="0" y="0"/>
                      <a:ext cx="5029200" cy="3008299"/>
                    </a:xfrm>
                    <a:prstGeom prst="rect"/>
                  </pic:spPr>
                </pic:pic>
              </a:graphicData>
            </a:graphic>
          </wp:inline>
        </w:drawing>
      </w:r>
    </w:p>
    <w:p>
      <w:r>
        <w:br w:type="page"/>
      </w:r>
    </w:p>
    <w:p>
      <w:pPr>
        <w:pStyle w:val="Heading1"/>
      </w:pPr>
      <w:r>
        <w:rPr>
          <w:rFonts w:ascii="微软雅黑" w:hAnsi="微软雅黑"/>
        </w:rPr>
        <w:t>HyperAuto V2 入门指南</w:t>
      </w:r>
    </w:p>
    <w:p>
      <w:pPr>
        <w:spacing w:line="360" w:lineRule="auto" w:after="120"/>
      </w:pPr>
      <w:r>
        <w:rPr>
          <w:rFonts w:ascii="微软雅黑" w:hAnsi="微软雅黑"/>
          <w:sz w:val="21"/>
        </w:rPr>
        <w:t># HyperAuto V2 入门指南</w:t>
      </w:r>
    </w:p>
    <w:p>
      <w:pPr>
        <w:spacing w:line="360" w:lineRule="auto" w:after="120"/>
      </w:pPr>
      <w:r>
        <w:rPr>
          <w:rFonts w:ascii="微软雅黑" w:hAnsi="微软雅黑"/>
          <w:sz w:val="21"/>
        </w:rPr>
        <w:t xml:space="preserve">本指南适用于 HyperAuto V2。要开始使用 HyperAuto V1，请参阅 </w:t>
      </w:r>
      <w:r>
        <w:rPr>
          <w:rFonts w:ascii="微软雅黑" w:hAnsi="微软雅黑"/>
          <w:color w:val="0066CC"/>
          <w:sz w:val="21"/>
          <w:u w:val="single"/>
        </w:rPr>
        <w:t>HyperAuto V1 文档</w:t>
      </w:r>
      <w:r>
        <w:rPr>
          <w:rFonts w:ascii="微软雅黑" w:hAnsi="微软雅黑"/>
          <w:sz w:val="21"/>
        </w:rPr>
        <w:t>。</w:t>
      </w:r>
    </w:p>
    <w:p>
      <w:pPr>
        <w:spacing w:line="360" w:lineRule="auto" w:after="120"/>
      </w:pPr>
      <w:r>
        <w:rPr>
          <w:rFonts w:ascii="微软雅黑" w:hAnsi="微软雅黑"/>
          <w:sz w:val="21"/>
        </w:rPr>
        <w:t>如果您没有直接连接到系统并且正在处理静态数据，可以创建一个</w:t>
      </w:r>
      <w:r>
        <w:rPr>
          <w:rFonts w:ascii="微软雅黑" w:hAnsi="微软雅黑"/>
          <w:color w:val="0066CC"/>
          <w:sz w:val="21"/>
          <w:u w:val="single"/>
        </w:rPr>
        <w:t>基于文件夹的管道</w:t>
      </w:r>
      <w:r>
        <w:rPr>
          <w:rFonts w:ascii="微软雅黑" w:hAnsi="微软雅黑"/>
          <w:sz w:val="21"/>
        </w:rPr>
        <w:t>。</w:t>
      </w:r>
    </w:p>
    <w:p>
      <w:pPr>
        <w:spacing w:line="360" w:lineRule="auto" w:after="120"/>
      </w:pPr>
      <w:r>
        <w:rPr>
          <w:rFonts w:ascii="微软雅黑" w:hAnsi="微软雅黑"/>
          <w:sz w:val="21"/>
        </w:rPr>
        <w:t>按照以下步骤创建您的第一个 HyperAuto 管道：</w:t>
      </w:r>
    </w:p>
    <w:p>
      <w:pPr>
        <w:pStyle w:val="ListNumber"/>
        <w:spacing w:line="360" w:lineRule="auto" w:after="120"/>
      </w:pPr>
      <w:r>
        <w:rPr>
          <w:rFonts w:ascii="微软雅黑" w:hAnsi="微软雅黑"/>
          <w:sz w:val="21"/>
        </w:rPr>
        <w:t>导航到您希望从中同步数据的</w:t>
      </w:r>
      <w:r>
        <w:rPr>
          <w:rFonts w:ascii="微软雅黑" w:hAnsi="微软雅黑"/>
          <w:color w:val="0066CC"/>
          <w:sz w:val="21"/>
          <w:u w:val="single"/>
        </w:rPr>
        <w:t>支持源</w:t>
      </w:r>
      <w:r>
        <w:rPr>
          <w:rFonts w:ascii="微软雅黑" w:hAnsi="微软雅黑"/>
          <w:sz w:val="21"/>
        </w:rPr>
        <w:t>。您可以在 Foundry 实例的</w:t>
      </w:r>
      <w:r>
        <w:rPr>
          <w:rFonts w:ascii="微软雅黑" w:hAnsi="微软雅黑"/>
          <w:color w:val="0066CC"/>
          <w:sz w:val="21"/>
          <w:u w:val="single"/>
        </w:rPr>
        <w:t>数据连接</w:t>
      </w:r>
      <w:r>
        <w:rPr>
          <w:rFonts w:ascii="微软雅黑" w:hAnsi="微软雅黑"/>
          <w:sz w:val="21"/>
        </w:rPr>
        <w:t>应用中找到所有源的列表。</w:t>
      </w:r>
    </w:p>
    <w:p>
      <w:pPr>
        <w:spacing w:before="120" w:after="240"/>
        <w:jc w:val="center"/>
      </w:pPr>
      <w:r>
        <w:drawing>
          <wp:inline xmlns:a="http://schemas.openxmlformats.org/drawingml/2006/main" xmlns:pic="http://schemas.openxmlformats.org/drawingml/2006/picture">
            <wp:extent cx="5029200" cy="2764895"/>
            <wp:docPr id="28" name="Picture 28"/>
            <wp:cNvGraphicFramePr>
              <a:graphicFrameLocks noChangeAspect="1"/>
            </wp:cNvGraphicFramePr>
            <a:graphic>
              <a:graphicData uri="http://schemas.openxmlformats.org/drawingml/2006/picture">
                <pic:pic>
                  <pic:nvPicPr>
                    <pic:cNvPr id="0" name="data-connection-sap-sources.png"/>
                    <pic:cNvPicPr/>
                  </pic:nvPicPr>
                  <pic:blipFill>
                    <a:blip r:embed="rId35"/>
                    <a:stretch>
                      <a:fillRect/>
                    </a:stretch>
                  </pic:blipFill>
                  <pic:spPr>
                    <a:xfrm>
                      <a:off x="0" y="0"/>
                      <a:ext cx="5029200" cy="2764895"/>
                    </a:xfrm>
                    <a:prstGeom prst="rect"/>
                  </pic:spPr>
                </pic:pic>
              </a:graphicData>
            </a:graphic>
          </wp:inline>
        </w:drawing>
      </w:r>
    </w:p>
    <w:p>
      <w:pPr>
        <w:pStyle w:val="ListNumber"/>
        <w:spacing w:line="360" w:lineRule="auto" w:after="120"/>
      </w:pPr>
      <w:r>
        <w:rPr>
          <w:rFonts w:ascii="微软雅黑" w:hAnsi="微软雅黑"/>
          <w:sz w:val="21"/>
        </w:rPr>
        <w:t>在源的特定概览选项卡中，选择</w:t>
      </w:r>
      <w:r>
        <w:rPr>
          <w:rFonts w:ascii="微软雅黑" w:hAnsi="微软雅黑"/>
          <w:b/>
          <w:sz w:val="21"/>
        </w:rPr>
        <w:t>创建 HyperAuto 管道</w:t>
      </w:r>
      <w:r>
        <w:rPr>
          <w:rFonts w:ascii="微软雅黑" w:hAnsi="微软雅黑"/>
          <w:sz w:val="21"/>
        </w:rPr>
        <w:t>以打开 HyperAuto 管道向导。</w:t>
      </w:r>
    </w:p>
    <w:p>
      <w:pPr>
        <w:spacing w:before="120" w:after="240"/>
        <w:jc w:val="center"/>
      </w:pPr>
      <w:r>
        <w:drawing>
          <wp:inline xmlns:a="http://schemas.openxmlformats.org/drawingml/2006/main" xmlns:pic="http://schemas.openxmlformats.org/drawingml/2006/picture">
            <wp:extent cx="5029200" cy="2778169"/>
            <wp:docPr id="29" name="Picture 29"/>
            <wp:cNvGraphicFramePr>
              <a:graphicFrameLocks noChangeAspect="1"/>
            </wp:cNvGraphicFramePr>
            <a:graphic>
              <a:graphicData uri="http://schemas.openxmlformats.org/drawingml/2006/picture">
                <pic:pic>
                  <pic:nvPicPr>
                    <pic:cNvPr id="0" name="source-overview-pipelines-card.png"/>
                    <pic:cNvPicPr/>
                  </pic:nvPicPr>
                  <pic:blipFill>
                    <a:blip r:embed="rId36"/>
                    <a:stretch>
                      <a:fillRect/>
                    </a:stretch>
                  </pic:blipFill>
                  <pic:spPr>
                    <a:xfrm>
                      <a:off x="0" y="0"/>
                      <a:ext cx="5029200" cy="2778169"/>
                    </a:xfrm>
                    <a:prstGeom prst="rect"/>
                  </pic:spPr>
                </pic:pic>
              </a:graphicData>
            </a:graphic>
          </wp:inline>
        </w:drawing>
      </w:r>
    </w:p>
    <w:p>
      <w:pPr>
        <w:pStyle w:val="ListNumber"/>
        <w:spacing w:line="360" w:lineRule="auto" w:after="120"/>
      </w:pPr>
      <w:r>
        <w:rPr>
          <w:rFonts w:ascii="微软雅黑" w:hAnsi="微软雅黑"/>
          <w:sz w:val="21"/>
        </w:rPr>
        <w:t>定义新的 HyperAuto 管道资源的名称和位置以及任何相应的生成资源。请注意，HyperAuto 管道必须与输入数据集位于同一项目中。</w:t>
      </w:r>
    </w:p>
    <w:p>
      <w:pPr>
        <w:spacing w:before="120" w:after="240"/>
        <w:jc w:val="center"/>
      </w:pPr>
      <w:r>
        <w:drawing>
          <wp:inline xmlns:a="http://schemas.openxmlformats.org/drawingml/2006/main" xmlns:pic="http://schemas.openxmlformats.org/drawingml/2006/picture">
            <wp:extent cx="5029200" cy="2779471"/>
            <wp:docPr id="30" name="Picture 30"/>
            <wp:cNvGraphicFramePr>
              <a:graphicFrameLocks noChangeAspect="1"/>
            </wp:cNvGraphicFramePr>
            <a:graphic>
              <a:graphicData uri="http://schemas.openxmlformats.org/drawingml/2006/picture">
                <pic:pic>
                  <pic:nvPicPr>
                    <pic:cNvPr id="0" name="hyperauto-v2-wizard-1-name-and-location.png"/>
                    <pic:cNvPicPr/>
                  </pic:nvPicPr>
                  <pic:blipFill>
                    <a:blip r:embed="rId37"/>
                    <a:stretch>
                      <a:fillRect/>
                    </a:stretch>
                  </pic:blipFill>
                  <pic:spPr>
                    <a:xfrm>
                      <a:off x="0" y="0"/>
                      <a:ext cx="5029200" cy="2779471"/>
                    </a:xfrm>
                    <a:prstGeom prst="rect"/>
                  </pic:spPr>
                </pic:pic>
              </a:graphicData>
            </a:graphic>
          </wp:inline>
        </w:drawing>
      </w:r>
    </w:p>
    <w:p>
      <w:pPr>
        <w:pStyle w:val="ListNumber"/>
        <w:spacing w:line="360" w:lineRule="auto" w:after="120"/>
      </w:pPr>
      <w:r>
        <w:rPr>
          <w:rFonts w:ascii="微软雅黑" w:hAnsi="微软雅黑"/>
          <w:sz w:val="21"/>
        </w:rPr>
        <w:t>如果适用，请选择源子系统（例如，SAP 源的"上下文"），以及摄取方法（批处理或流式处理，详细信息请参见</w:t>
      </w:r>
      <w:r>
        <w:rPr>
          <w:rFonts w:ascii="微软雅黑" w:hAnsi="微软雅黑"/>
          <w:color w:val="0066CC"/>
          <w:sz w:val="21"/>
          <w:u w:val="single"/>
        </w:rPr>
        <w:t>架构</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779471"/>
            <wp:docPr id="31" name="Picture 31"/>
            <wp:cNvGraphicFramePr>
              <a:graphicFrameLocks noChangeAspect="1"/>
            </wp:cNvGraphicFramePr>
            <a:graphic>
              <a:graphicData uri="http://schemas.openxmlformats.org/drawingml/2006/picture">
                <pic:pic>
                  <pic:nvPicPr>
                    <pic:cNvPr id="0" name="hyperauto-v2-wizard-2-source-config.png"/>
                    <pic:cNvPicPr/>
                  </pic:nvPicPr>
                  <pic:blipFill>
                    <a:blip r:embed="rId17"/>
                    <a:stretch>
                      <a:fillRect/>
                    </a:stretch>
                  </pic:blipFill>
                  <pic:spPr>
                    <a:xfrm>
                      <a:off x="0" y="0"/>
                      <a:ext cx="5029200" cy="2779471"/>
                    </a:xfrm>
                    <a:prstGeom prst="rect"/>
                  </pic:spPr>
                </pic:pic>
              </a:graphicData>
            </a:graphic>
          </wp:inline>
        </w:drawing>
      </w:r>
    </w:p>
    <w:p>
      <w:pPr>
        <w:pStyle w:val="ListNumber"/>
        <w:spacing w:line="360" w:lineRule="auto" w:after="120"/>
      </w:pPr>
      <w:r>
        <w:rPr>
          <w:rFonts w:ascii="微软雅黑" w:hAnsi="微软雅黑"/>
          <w:sz w:val="21"/>
        </w:rPr>
        <w:t>在</w:t>
      </w:r>
      <w:r>
        <w:rPr>
          <w:rFonts w:ascii="微软雅黑" w:hAnsi="微软雅黑"/>
          <w:b/>
          <w:sz w:val="21"/>
        </w:rPr>
        <w:t>输入配置</w:t>
      </w:r>
      <w:r>
        <w:rPr>
          <w:rFonts w:ascii="微软雅黑" w:hAnsi="微软雅黑"/>
          <w:sz w:val="21"/>
        </w:rPr>
        <w:t>步骤中，选择您希望处理数据的源表。您可以按类别（"模块"）或按工作流单独选择表。您还可以选择没有数据连接同步的表作为输入。如果选定的输入已有同步，HyperAuto 将默认使用最近的一个。要重新配置选定的输入，将鼠标悬停在</w:t>
      </w:r>
      <w:r>
        <w:rPr>
          <w:rFonts w:ascii="微软雅黑" w:hAnsi="微软雅黑"/>
          <w:b/>
          <w:sz w:val="21"/>
        </w:rPr>
        <w:t>配置输入</w:t>
      </w:r>
      <w:r>
        <w:rPr>
          <w:rFonts w:ascii="微软雅黑" w:hAnsi="微软雅黑"/>
          <w:sz w:val="21"/>
        </w:rPr>
        <w:t>表按钮上。在此菜单中，您可以选择替代的现有同步或创建新的同步。</w:t>
      </w:r>
    </w:p>
    <w:p>
      <w:pPr>
        <w:spacing w:before="120" w:after="240"/>
        <w:jc w:val="center"/>
      </w:pPr>
      <w:r>
        <w:drawing>
          <wp:inline xmlns:a="http://schemas.openxmlformats.org/drawingml/2006/main" xmlns:pic="http://schemas.openxmlformats.org/drawingml/2006/picture">
            <wp:extent cx="5029200" cy="2786176"/>
            <wp:docPr id="32" name="Picture 32"/>
            <wp:cNvGraphicFramePr>
              <a:graphicFrameLocks noChangeAspect="1"/>
            </wp:cNvGraphicFramePr>
            <a:graphic>
              <a:graphicData uri="http://schemas.openxmlformats.org/drawingml/2006/picture">
                <pic:pic>
                  <pic:nvPicPr>
                    <pic:cNvPr id="0" name="hyperauto-v2-wizard-3-add-add-to-cart.png"/>
                    <pic:cNvPicPr/>
                  </pic:nvPicPr>
                  <pic:blipFill>
                    <a:blip r:embed="rId18"/>
                    <a:stretch>
                      <a:fillRect/>
                    </a:stretch>
                  </pic:blipFill>
                  <pic:spPr>
                    <a:xfrm>
                      <a:off x="0" y="0"/>
                      <a:ext cx="5029200" cy="2786176"/>
                    </a:xfrm>
                    <a:prstGeom prst="rect"/>
                  </pic:spPr>
                </pic:pic>
              </a:graphicData>
            </a:graphic>
          </wp:inline>
        </w:drawing>
      </w:r>
    </w:p>
    <w:p>
      <w:pPr>
        <w:pStyle w:val="ListNumber"/>
        <w:spacing w:line="360" w:lineRule="auto" w:after="120"/>
      </w:pPr>
      <w:r>
        <w:rPr>
          <w:rFonts w:ascii="微软雅黑" w:hAnsi="微软雅黑"/>
          <w:sz w:val="21"/>
        </w:rPr>
        <w:t>决定所需的管道配置，包括语言和变换选项。详细信息请参见</w:t>
      </w:r>
      <w:r>
        <w:rPr>
          <w:rFonts w:ascii="微软雅黑" w:hAnsi="微软雅黑"/>
          <w:color w:val="0066CC"/>
          <w:sz w:val="21"/>
          <w:u w:val="single"/>
        </w:rPr>
        <w:t>配置选项</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786176"/>
            <wp:docPr id="33" name="Picture 33"/>
            <wp:cNvGraphicFramePr>
              <a:graphicFrameLocks noChangeAspect="1"/>
            </wp:cNvGraphicFramePr>
            <a:graphic>
              <a:graphicData uri="http://schemas.openxmlformats.org/drawingml/2006/picture">
                <pic:pic>
                  <pic:nvPicPr>
                    <pic:cNvPr id="0" name="hyperauto-v2-wizard-4-pipeline-config.png"/>
                    <pic:cNvPicPr/>
                  </pic:nvPicPr>
                  <pic:blipFill>
                    <a:blip r:embed="rId19"/>
                    <a:stretch>
                      <a:fillRect/>
                    </a:stretch>
                  </pic:blipFill>
                  <pic:spPr>
                    <a:xfrm>
                      <a:off x="0" y="0"/>
                      <a:ext cx="5029200" cy="2786176"/>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创建 HyperAuto 管道</w:t>
      </w:r>
      <w:r>
        <w:rPr>
          <w:rFonts w:ascii="微软雅黑" w:hAnsi="微软雅黑"/>
          <w:sz w:val="21"/>
        </w:rPr>
        <w:t>。您的新 HyperAuto 管道将被创建并开始处理数据。您将被重定向到管道的概览页面，在那里您可以监控生成进度。</w:t>
      </w:r>
    </w:p>
    <w:p>
      <w:pPr>
        <w:spacing w:before="120" w:after="240"/>
        <w:jc w:val="center"/>
      </w:pPr>
      <w:r>
        <w:drawing>
          <wp:inline xmlns:a="http://schemas.openxmlformats.org/drawingml/2006/main" xmlns:pic="http://schemas.openxmlformats.org/drawingml/2006/picture">
            <wp:extent cx="5029200" cy="2776118"/>
            <wp:docPr id="34" name="Picture 34"/>
            <wp:cNvGraphicFramePr>
              <a:graphicFrameLocks noChangeAspect="1"/>
            </wp:cNvGraphicFramePr>
            <a:graphic>
              <a:graphicData uri="http://schemas.openxmlformats.org/drawingml/2006/picture">
                <pic:pic>
                  <pic:nvPicPr>
                    <pic:cNvPr id="0" name="hyperauto-v2-overview-creating-resources.png"/>
                    <pic:cNvPicPr/>
                  </pic:nvPicPr>
                  <pic:blipFill>
                    <a:blip r:embed="rId38"/>
                    <a:stretch>
                      <a:fillRect/>
                    </a:stretch>
                  </pic:blipFill>
                  <pic:spPr>
                    <a:xfrm>
                      <a:off x="0" y="0"/>
                      <a:ext cx="5029200" cy="2776118"/>
                    </a:xfrm>
                    <a:prstGeom prst="rect"/>
                  </pic:spPr>
                </pic:pic>
              </a:graphicData>
            </a:graphic>
          </wp:inline>
        </w:drawing>
      </w:r>
    </w:p>
    <w:p>
      <w:pPr>
        <w:pStyle w:val="ListNumber"/>
        <w:spacing w:line="360" w:lineRule="auto" w:after="120"/>
      </w:pPr>
      <w:r>
        <w:rPr>
          <w:rFonts w:ascii="微软雅黑" w:hAnsi="微软雅黑"/>
          <w:sz w:val="21"/>
        </w:rPr>
        <w:t>一旦生成成功，您可以使用概览页面管理和监控管道及其相关资源，包括输入同步和数据集，以及输出数据集和Object。</w:t>
      </w:r>
    </w:p>
    <w:p>
      <w:pPr>
        <w:pStyle w:val="ListBullet"/>
        <w:spacing w:line="360" w:lineRule="auto" w:after="120"/>
      </w:pPr>
      <w:r>
        <w:rPr>
          <w:rFonts w:ascii="微软雅黑" w:hAnsi="微软雅黑"/>
          <w:sz w:val="21"/>
        </w:rPr>
        <w:t>选择</w:t>
      </w:r>
      <w:r>
        <w:rPr>
          <w:rFonts w:ascii="微软雅黑" w:hAnsi="微软雅黑"/>
          <w:b/>
          <w:sz w:val="21"/>
        </w:rPr>
        <w:t>查看生成器管道</w:t>
      </w:r>
      <w:r>
        <w:rPr>
          <w:rFonts w:ascii="微软雅黑" w:hAnsi="微软雅黑"/>
          <w:sz w:val="21"/>
        </w:rPr>
        <w:t>以打开只读生成器管道，并更详细地查看变换逻辑。</w:t>
      </w:r>
    </w:p>
    <w:p>
      <w:pPr>
        <w:spacing w:before="120" w:after="240"/>
        <w:jc w:val="center"/>
      </w:pPr>
      <w:r>
        <w:drawing>
          <wp:inline xmlns:a="http://schemas.openxmlformats.org/drawingml/2006/main" xmlns:pic="http://schemas.openxmlformats.org/drawingml/2006/picture">
            <wp:extent cx="5029200" cy="2581383"/>
            <wp:docPr id="35" name="Picture 35"/>
            <wp:cNvGraphicFramePr>
              <a:graphicFrameLocks noChangeAspect="1"/>
            </wp:cNvGraphicFramePr>
            <a:graphic>
              <a:graphicData uri="http://schemas.openxmlformats.org/drawingml/2006/picture">
                <pic:pic>
                  <pic:nvPicPr>
                    <pic:cNvPr id="0" name="hyperauto-v2-builder-pipeline.png"/>
                    <pic:cNvPicPr/>
                  </pic:nvPicPr>
                  <pic:blipFill>
                    <a:blip r:embed="rId13"/>
                    <a:stretch>
                      <a:fillRect/>
                    </a:stretch>
                  </pic:blipFill>
                  <pic:spPr>
                    <a:xfrm>
                      <a:off x="0" y="0"/>
                      <a:ext cx="5029200" cy="2581383"/>
                    </a:xfrm>
                    <a:prstGeom prst="rect"/>
                  </pic:spPr>
                </pic:pic>
              </a:graphicData>
            </a:graphic>
          </wp:inline>
        </w:drawing>
      </w:r>
    </w:p>
    <w:p>
      <w:pPr>
        <w:pStyle w:val="ListBullet"/>
        <w:spacing w:line="360" w:lineRule="auto" w:after="120"/>
      </w:pPr>
      <w:r>
        <w:rPr>
          <w:rFonts w:ascii="微软雅黑" w:hAnsi="微软雅黑"/>
          <w:b/>
          <w:sz w:val="21"/>
        </w:rPr>
        <w:t>配置</w:t>
      </w:r>
      <w:r>
        <w:rPr>
          <w:rFonts w:ascii="微软雅黑" w:hAnsi="微软雅黑"/>
          <w:sz w:val="21"/>
        </w:rPr>
        <w:t>选项卡显示 HyperAuto 管道的输入和管道配置。在此选项卡中选择</w:t>
      </w:r>
      <w:r>
        <w:rPr>
          <w:rFonts w:ascii="微软雅黑" w:hAnsi="微软雅黑"/>
          <w:b/>
          <w:sz w:val="21"/>
        </w:rPr>
        <w:t>编辑</w:t>
      </w:r>
      <w:r>
        <w:rPr>
          <w:rFonts w:ascii="微软雅黑" w:hAnsi="微软雅黑"/>
          <w:sz w:val="21"/>
        </w:rPr>
        <w:t>以创建新的</w:t>
      </w:r>
      <w:r>
        <w:rPr>
          <w:rFonts w:ascii="微软雅黑" w:hAnsi="微软雅黑"/>
          <w:color w:val="0066CC"/>
          <w:sz w:val="21"/>
          <w:u w:val="single"/>
        </w:rPr>
        <w:t>提案</w:t>
      </w:r>
      <w:r>
        <w:rPr>
          <w:rFonts w:ascii="微软雅黑" w:hAnsi="微软雅黑"/>
          <w:sz w:val="21"/>
        </w:rPr>
        <w:t>并更新配置。</w:t>
      </w:r>
    </w:p>
    <w:p>
      <w:pPr>
        <w:spacing w:before="120" w:after="240"/>
        <w:jc w:val="center"/>
      </w:pPr>
      <w:r>
        <w:drawing>
          <wp:inline xmlns:a="http://schemas.openxmlformats.org/drawingml/2006/main" xmlns:pic="http://schemas.openxmlformats.org/drawingml/2006/picture">
            <wp:extent cx="5029200" cy="2581383"/>
            <wp:docPr id="36" name="Picture 36"/>
            <wp:cNvGraphicFramePr>
              <a:graphicFrameLocks noChangeAspect="1"/>
            </wp:cNvGraphicFramePr>
            <a:graphic>
              <a:graphicData uri="http://schemas.openxmlformats.org/drawingml/2006/picture">
                <pic:pic>
                  <pic:nvPicPr>
                    <pic:cNvPr id="0" name="hyperauto-v2-overview-pipeline-config.png"/>
                    <pic:cNvPicPr/>
                  </pic:nvPicPr>
                  <pic:blipFill>
                    <a:blip r:embed="rId39"/>
                    <a:stretch>
                      <a:fillRect/>
                    </a:stretch>
                  </pic:blipFill>
                  <pic:spPr>
                    <a:xfrm>
                      <a:off x="0" y="0"/>
                      <a:ext cx="5029200" cy="2581383"/>
                    </a:xfrm>
                    <a:prstGeom prst="rect"/>
                  </pic:spPr>
                </pic:pic>
              </a:graphicData>
            </a:graphic>
          </wp:inline>
        </w:drawing>
      </w:r>
    </w:p>
    <w:p>
      <w:r>
        <w:br w:type="page"/>
      </w:r>
    </w:p>
    <w:p>
      <w:pPr>
        <w:pStyle w:val="Heading1"/>
      </w:pPr>
      <w:r>
        <w:rPr>
          <w:rFonts w:ascii="微软雅黑" w:hAnsi="微软雅黑"/>
        </w:rPr>
        <w:t>提案</w:t>
      </w:r>
    </w:p>
    <w:p>
      <w:pPr>
        <w:spacing w:line="360" w:lineRule="auto" w:after="120"/>
      </w:pPr>
      <w:r>
        <w:rPr>
          <w:rFonts w:ascii="微软雅黑" w:hAnsi="微软雅黑"/>
          <w:sz w:val="21"/>
        </w:rPr>
        <w:t># 提案</w:t>
      </w:r>
    </w:p>
    <w:p>
      <w:pPr>
        <w:spacing w:line="360" w:lineRule="auto" w:after="120"/>
      </w:pPr>
      <w:r>
        <w:rPr>
          <w:rFonts w:ascii="微软雅黑" w:hAnsi="微软雅黑"/>
          <w:sz w:val="21"/>
        </w:rPr>
        <w:t>要对HyperAuto管道进行编辑，用户需要创建一个提案。在HyperAuto管道上一次只能存在一个提案，并代表该管道所拥有的资源和变换逻辑的分阶段再生成。</w:t>
      </w:r>
    </w:p>
    <w:p>
      <w:pPr>
        <w:spacing w:line="360" w:lineRule="auto" w:after="120"/>
      </w:pPr>
      <w:r>
        <w:rPr>
          <w:rFonts w:ascii="微软雅黑" w:hAnsi="微软雅黑"/>
          <w:sz w:val="21"/>
        </w:rPr>
        <w:t>用户必须决定是批准并应用提案还是丢弃它。</w:t>
      </w:r>
    </w:p>
    <w:p>
      <w:pPr>
        <w:pStyle w:val="Heading2"/>
      </w:pPr>
      <w:r>
        <w:rPr>
          <w:rFonts w:ascii="微软雅黑" w:hAnsi="微软雅黑"/>
        </w:rPr>
        <w:t>创建提案</w:t>
      </w:r>
    </w:p>
    <w:p>
      <w:pPr>
        <w:spacing w:line="360" w:lineRule="auto" w:after="120"/>
      </w:pPr>
      <w:r>
        <w:rPr>
          <w:rFonts w:ascii="微软雅黑" w:hAnsi="微软雅黑"/>
          <w:sz w:val="21"/>
        </w:rPr>
        <w:t>要创建提案，请打开现有HyperAuto管道的</w:t>
      </w:r>
      <w:r>
        <w:rPr>
          <w:rFonts w:ascii="微软雅黑" w:hAnsi="微软雅黑"/>
          <w:b/>
          <w:sz w:val="21"/>
        </w:rPr>
        <w:t>配置</w:t>
      </w:r>
      <w:r>
        <w:rPr>
          <w:rFonts w:ascii="微软雅黑" w:hAnsi="微软雅黑"/>
          <w:sz w:val="21"/>
        </w:rPr>
        <w:t>标签并选择</w:t>
      </w:r>
      <w:r>
        <w:rPr>
          <w:rFonts w:ascii="微软雅黑" w:hAnsi="微软雅黑"/>
          <w:b/>
          <w:sz w:val="21"/>
        </w:rPr>
        <w:t>编辑</w:t>
      </w:r>
      <w:r>
        <w:rPr>
          <w:rFonts w:ascii="微软雅黑" w:hAnsi="微软雅黑"/>
          <w:sz w:val="21"/>
        </w:rPr>
        <w:t>。</w:t>
      </w:r>
    </w:p>
    <w:p>
      <w:pPr>
        <w:spacing w:after="40"/>
        <w:jc w:val="center"/>
      </w:pPr>
      <w:r>
        <w:rPr>
          <w:i/>
          <w:color w:val="646464"/>
          <w:sz w:val="18"/>
        </w:rPr>
        <w:t>图：配置标签</w:t>
      </w:r>
    </w:p>
    <w:p>
      <w:pPr>
        <w:spacing w:before="120" w:after="240"/>
        <w:jc w:val="center"/>
      </w:pPr>
      <w:r>
        <w:drawing>
          <wp:inline xmlns:a="http://schemas.openxmlformats.org/drawingml/2006/main" xmlns:pic="http://schemas.openxmlformats.org/drawingml/2006/picture">
            <wp:extent cx="5029200" cy="2805641"/>
            <wp:docPr id="37" name="Picture 37"/>
            <wp:cNvGraphicFramePr>
              <a:graphicFrameLocks noChangeAspect="1"/>
            </wp:cNvGraphicFramePr>
            <a:graphic>
              <a:graphicData uri="http://schemas.openxmlformats.org/drawingml/2006/picture">
                <pic:pic>
                  <pic:nvPicPr>
                    <pic:cNvPr id="0" name="hyperauto-v2-overview-input-config.png"/>
                    <pic:cNvPicPr/>
                  </pic:nvPicPr>
                  <pic:blipFill>
                    <a:blip r:embed="rId40"/>
                    <a:stretch>
                      <a:fillRect/>
                    </a:stretch>
                  </pic:blipFill>
                  <pic:spPr>
                    <a:xfrm>
                      <a:off x="0" y="0"/>
                      <a:ext cx="5029200" cy="2805641"/>
                    </a:xfrm>
                    <a:prstGeom prst="rect"/>
                  </pic:spPr>
                </pic:pic>
              </a:graphicData>
            </a:graphic>
          </wp:inline>
        </w:drawing>
      </w:r>
    </w:p>
    <w:p>
      <w:pPr>
        <w:spacing w:line="360" w:lineRule="auto" w:after="120"/>
      </w:pPr>
      <w:r>
        <w:rPr>
          <w:rFonts w:ascii="微软雅黑" w:hAnsi="微软雅黑"/>
          <w:sz w:val="21"/>
        </w:rPr>
        <w:t>在编辑模式下，可以在一次编辑中更新输入配置（添加或移除作为输入的源表）和管道配置。</w:t>
      </w:r>
    </w:p>
    <w:p>
      <w:pPr>
        <w:spacing w:after="40"/>
        <w:jc w:val="center"/>
      </w:pPr>
      <w:r>
        <w:rPr>
          <w:i/>
          <w:color w:val="646464"/>
          <w:sz w:val="18"/>
        </w:rPr>
        <w:t>图：编辑模式</w:t>
      </w:r>
    </w:p>
    <w:p>
      <w:pPr>
        <w:spacing w:before="120" w:after="240"/>
        <w:jc w:val="center"/>
      </w:pPr>
      <w:r>
        <w:drawing>
          <wp:inline xmlns:a="http://schemas.openxmlformats.org/drawingml/2006/main" xmlns:pic="http://schemas.openxmlformats.org/drawingml/2006/picture">
            <wp:extent cx="5029200" cy="2823057"/>
            <wp:docPr id="38" name="Picture 38"/>
            <wp:cNvGraphicFramePr>
              <a:graphicFrameLocks noChangeAspect="1"/>
            </wp:cNvGraphicFramePr>
            <a:graphic>
              <a:graphicData uri="http://schemas.openxmlformats.org/drawingml/2006/picture">
                <pic:pic>
                  <pic:nvPicPr>
                    <pic:cNvPr id="0" name="hyperauto-v2-overview-input-config-edit-mode.png"/>
                    <pic:cNvPicPr/>
                  </pic:nvPicPr>
                  <pic:blipFill>
                    <a:blip r:embed="rId41"/>
                    <a:stretch>
                      <a:fillRect/>
                    </a:stretch>
                  </pic:blipFill>
                  <pic:spPr>
                    <a:xfrm>
                      <a:off x="0" y="0"/>
                      <a:ext cx="5029200" cy="2823057"/>
                    </a:xfrm>
                    <a:prstGeom prst="rect"/>
                  </pic:spPr>
                </pic:pic>
              </a:graphicData>
            </a:graphic>
          </wp:inline>
        </w:drawing>
      </w:r>
    </w:p>
    <w:p>
      <w:pPr>
        <w:spacing w:line="360" w:lineRule="auto" w:after="120"/>
      </w:pPr>
      <w:r>
        <w:rPr>
          <w:rFonts w:ascii="微软雅黑" w:hAnsi="微软雅黑"/>
          <w:sz w:val="21"/>
        </w:rPr>
        <w:t>一旦对更改感到满意，选择</w:t>
      </w:r>
      <w:r>
        <w:rPr>
          <w:rFonts w:ascii="微软雅黑" w:hAnsi="微软雅黑"/>
          <w:b/>
          <w:sz w:val="21"/>
        </w:rPr>
        <w:t>创建提案</w:t>
      </w:r>
      <w:r>
        <w:rPr>
          <w:rFonts w:ascii="微软雅黑" w:hAnsi="微软雅黑"/>
          <w:sz w:val="21"/>
        </w:rPr>
        <w:t>以获得一个准备好供您评估和批准的提案，并已链接。</w:t>
      </w:r>
    </w:p>
    <w:p>
      <w:pPr>
        <w:spacing w:after="40"/>
        <w:jc w:val="center"/>
      </w:pPr>
      <w:r>
        <w:rPr>
          <w:i/>
          <w:color w:val="646464"/>
          <w:sz w:val="18"/>
        </w:rPr>
        <w:t>图：待处理提案</w:t>
      </w:r>
    </w:p>
    <w:p>
      <w:pPr>
        <w:spacing w:before="120" w:after="240"/>
        <w:jc w:val="center"/>
      </w:pPr>
      <w:r>
        <w:drawing>
          <wp:inline xmlns:a="http://schemas.openxmlformats.org/drawingml/2006/main" xmlns:pic="http://schemas.openxmlformats.org/drawingml/2006/picture">
            <wp:extent cx="5029200" cy="2823057"/>
            <wp:docPr id="39" name="Picture 39"/>
            <wp:cNvGraphicFramePr>
              <a:graphicFrameLocks noChangeAspect="1"/>
            </wp:cNvGraphicFramePr>
            <a:graphic>
              <a:graphicData uri="http://schemas.openxmlformats.org/drawingml/2006/picture">
                <pic:pic>
                  <pic:nvPicPr>
                    <pic:cNvPr id="0" name="hyperauto-v2-overview-pending-proposal.png"/>
                    <pic:cNvPicPr/>
                  </pic:nvPicPr>
                  <pic:blipFill>
                    <a:blip r:embed="rId42"/>
                    <a:stretch>
                      <a:fillRect/>
                    </a:stretch>
                  </pic:blipFill>
                  <pic:spPr>
                    <a:xfrm>
                      <a:off x="0" y="0"/>
                      <a:ext cx="5029200" cy="2823057"/>
                    </a:xfrm>
                    <a:prstGeom prst="rect"/>
                  </pic:spPr>
                </pic:pic>
              </a:graphicData>
            </a:graphic>
          </wp:inline>
        </w:drawing>
      </w:r>
    </w:p>
    <w:p>
      <w:pPr>
        <w:pStyle w:val="Heading2"/>
      </w:pPr>
      <w:r>
        <w:rPr>
          <w:rFonts w:ascii="微软雅黑" w:hAnsi="微软雅黑"/>
        </w:rPr>
        <w:t>查看提案</w:t>
      </w:r>
    </w:p>
    <w:p>
      <w:pPr>
        <w:spacing w:line="360" w:lineRule="auto" w:after="120"/>
      </w:pPr>
      <w:r>
        <w:rPr>
          <w:rFonts w:ascii="微软雅黑" w:hAnsi="微软雅黑"/>
          <w:sz w:val="21"/>
        </w:rPr>
        <w:t>从概览页面选择</w:t>
      </w:r>
      <w:r>
        <w:rPr>
          <w:rFonts w:ascii="微软雅黑" w:hAnsi="微软雅黑"/>
          <w:b/>
          <w:sz w:val="21"/>
        </w:rPr>
        <w:t>查看提案</w:t>
      </w:r>
      <w:r>
        <w:rPr>
          <w:rFonts w:ascii="微软雅黑" w:hAnsi="微软雅黑"/>
          <w:sz w:val="21"/>
        </w:rPr>
        <w:t>，以在Pipeline Builder中打开提案。这是您可以合并或关闭提案的页面。采取的操作将反映在相应的HyperAuto管道页面上。</w:t>
      </w:r>
    </w:p>
    <w:p>
      <w:pPr>
        <w:spacing w:after="40"/>
        <w:jc w:val="center"/>
      </w:pPr>
      <w:r>
        <w:rPr>
          <w:i/>
          <w:color w:val="646464"/>
          <w:sz w:val="18"/>
        </w:rPr>
        <w:t>图：构建器提案</w:t>
      </w:r>
    </w:p>
    <w:p>
      <w:pPr>
        <w:spacing w:before="120" w:after="240"/>
        <w:jc w:val="center"/>
      </w:pPr>
      <w:r>
        <w:drawing>
          <wp:inline xmlns:a="http://schemas.openxmlformats.org/drawingml/2006/main" xmlns:pic="http://schemas.openxmlformats.org/drawingml/2006/picture">
            <wp:extent cx="5029200" cy="2804018"/>
            <wp:docPr id="40" name="Picture 40"/>
            <wp:cNvGraphicFramePr>
              <a:graphicFrameLocks noChangeAspect="1"/>
            </wp:cNvGraphicFramePr>
            <a:graphic>
              <a:graphicData uri="http://schemas.openxmlformats.org/drawingml/2006/picture">
                <pic:pic>
                  <pic:nvPicPr>
                    <pic:cNvPr id="0" name="hyperauto-v2-builder-proposal.png"/>
                    <pic:cNvPicPr/>
                  </pic:nvPicPr>
                  <pic:blipFill>
                    <a:blip r:embed="rId43"/>
                    <a:stretch>
                      <a:fillRect/>
                    </a:stretch>
                  </pic:blipFill>
                  <pic:spPr>
                    <a:xfrm>
                      <a:off x="0" y="0"/>
                      <a:ext cx="5029200" cy="2804018"/>
                    </a:xfrm>
                    <a:prstGeom prst="rect"/>
                  </pic:spPr>
                </pic:pic>
              </a:graphicData>
            </a:graphic>
          </wp:inline>
        </w:drawing>
      </w:r>
    </w:p>
    <w:p>
      <w:pPr>
        <w:spacing w:line="360" w:lineRule="auto" w:after="120"/>
      </w:pPr>
      <w:r>
        <w:rPr>
          <w:rFonts w:ascii="微软雅黑" w:hAnsi="微软雅黑"/>
          <w:sz w:val="21"/>
        </w:rPr>
        <w:t>要查看提案生成的管道逻辑更改，请选择</w:t>
      </w:r>
      <w:r>
        <w:rPr>
          <w:rFonts w:ascii="微软雅黑" w:hAnsi="微软雅黑"/>
          <w:b/>
          <w:sz w:val="21"/>
        </w:rPr>
        <w:t>更改</w:t>
      </w:r>
      <w:r>
        <w:rPr>
          <w:rFonts w:ascii="微软雅黑" w:hAnsi="微软雅黑"/>
          <w:sz w:val="21"/>
        </w:rPr>
        <w:t>标签。</w:t>
      </w:r>
    </w:p>
    <w:p>
      <w:pPr>
        <w:spacing w:after="40"/>
        <w:jc w:val="center"/>
      </w:pPr>
      <w:r>
        <w:rPr>
          <w:i/>
          <w:color w:val="646464"/>
          <w:sz w:val="18"/>
        </w:rPr>
        <w:t>图：更改</w:t>
      </w:r>
    </w:p>
    <w:p>
      <w:pPr>
        <w:spacing w:before="120" w:after="240"/>
        <w:jc w:val="center"/>
      </w:pPr>
      <w:r>
        <w:drawing>
          <wp:inline xmlns:a="http://schemas.openxmlformats.org/drawingml/2006/main" xmlns:pic="http://schemas.openxmlformats.org/drawingml/2006/picture">
            <wp:extent cx="5029200" cy="3035819"/>
            <wp:docPr id="41" name="Picture 41"/>
            <wp:cNvGraphicFramePr>
              <a:graphicFrameLocks noChangeAspect="1"/>
            </wp:cNvGraphicFramePr>
            <a:graphic>
              <a:graphicData uri="http://schemas.openxmlformats.org/drawingml/2006/picture">
                <pic:pic>
                  <pic:nvPicPr>
                    <pic:cNvPr id="0" name="hyperauto-v2-builder-proposal-changes.png"/>
                    <pic:cNvPicPr/>
                  </pic:nvPicPr>
                  <pic:blipFill>
                    <a:blip r:embed="rId44"/>
                    <a:stretch>
                      <a:fillRect/>
                    </a:stretch>
                  </pic:blipFill>
                  <pic:spPr>
                    <a:xfrm>
                      <a:off x="0" y="0"/>
                      <a:ext cx="5029200" cy="3035819"/>
                    </a:xfrm>
                    <a:prstGeom prst="rect"/>
                  </pic:spPr>
                </pic:pic>
              </a:graphicData>
            </a:graphic>
          </wp:inline>
        </w:drawing>
      </w:r>
    </w:p>
    <w:p>
      <w:pPr>
        <w:spacing w:line="360" w:lineRule="auto" w:after="120"/>
      </w:pPr>
      <w:r>
        <w:rPr>
          <w:rFonts w:ascii="微软雅黑" w:hAnsi="微软雅黑"/>
          <w:sz w:val="21"/>
        </w:rPr>
        <w:t>在审查更改后，选择</w:t>
      </w:r>
      <w:r>
        <w:rPr>
          <w:rFonts w:ascii="微软雅黑" w:hAnsi="微软雅黑"/>
          <w:b/>
          <w:sz w:val="21"/>
        </w:rPr>
        <w:t>合并提案</w:t>
      </w:r>
      <w:r>
        <w:rPr>
          <w:rFonts w:ascii="微软雅黑" w:hAnsi="微软雅黑"/>
          <w:sz w:val="21"/>
        </w:rPr>
        <w:t>将更改提交到管道的主分支。确保在合并提案后选择</w:t>
      </w:r>
      <w:r>
        <w:rPr>
          <w:rFonts w:ascii="微软雅黑" w:hAnsi="微软雅黑"/>
          <w:b/>
          <w:sz w:val="21"/>
        </w:rPr>
        <w:t>部署分支"Main"</w:t>
      </w:r>
      <w:r>
        <w:rPr>
          <w:rFonts w:ascii="微软雅黑" w:hAnsi="微软雅黑"/>
          <w:sz w:val="21"/>
        </w:rPr>
        <w:t>。这将确保管道被部署，更改体现在输出数据集和Ontology中。</w:t>
      </w:r>
    </w:p>
    <w:p>
      <w:r>
        <w:br w:type="page"/>
      </w:r>
    </w:p>
    <w:p>
      <w:pPr>
        <w:pStyle w:val="Heading1"/>
      </w:pPr>
      <w:r>
        <w:rPr>
          <w:rFonts w:ascii="微软雅黑" w:hAnsi="微软雅黑"/>
        </w:rPr>
        <w:t>HyperAuto V2 支持的来源</w:t>
      </w:r>
    </w:p>
    <w:p>
      <w:pPr>
        <w:spacing w:line="360" w:lineRule="auto" w:after="120"/>
      </w:pPr>
      <w:r>
        <w:rPr>
          <w:rFonts w:ascii="微软雅黑" w:hAnsi="微软雅黑"/>
          <w:sz w:val="21"/>
        </w:rPr>
        <w:t># HyperAuto V2 支持的来源</w:t>
      </w:r>
    </w:p>
    <w:p>
      <w:pPr>
        <w:spacing w:line="360" w:lineRule="auto" w:after="120"/>
      </w:pPr>
      <w:r>
        <w:rPr>
          <w:rFonts w:ascii="微软雅黑" w:hAnsi="微软雅黑"/>
          <w:sz w:val="21"/>
        </w:rPr>
        <w:t>本页描述了HyperAuto V2 支持的</w:t>
      </w:r>
      <w:r>
        <w:rPr>
          <w:rFonts w:ascii="微软雅黑" w:hAnsi="微软雅黑"/>
          <w:color w:val="0066CC"/>
          <w:sz w:val="21"/>
          <w:u w:val="single"/>
        </w:rPr>
        <w:t>数据连接</w:t>
      </w:r>
      <w:r>
        <w:rPr>
          <w:rFonts w:ascii="微软雅黑" w:hAnsi="微软雅黑"/>
          <w:sz w:val="21"/>
        </w:rPr>
        <w:t>来源类型。</w:t>
      </w:r>
    </w:p>
    <w:p>
      <w:pPr>
        <w:pStyle w:val="Heading2"/>
      </w:pPr>
      <w:r>
        <w:rPr>
          <w:rFonts w:ascii="微软雅黑" w:hAnsi="微软雅黑"/>
        </w:rPr>
        <w:t>SAP</w:t>
      </w:r>
    </w:p>
    <w:p>
      <w:pPr>
        <w:pStyle w:val="Heading3"/>
      </w:pPr>
      <w:r>
        <w:rPr>
          <w:rFonts w:ascii="微软雅黑" w:hAnsi="微软雅黑"/>
        </w:rPr>
        <w:t>来源连接</w:t>
      </w:r>
    </w:p>
    <w:p>
      <w:pPr>
        <w:spacing w:line="360" w:lineRule="auto" w:after="120"/>
      </w:pPr>
      <w:r>
        <w:rPr>
          <w:rFonts w:ascii="微软雅黑" w:hAnsi="微软雅黑"/>
          <w:sz w:val="21"/>
        </w:rPr>
        <w:t>HyperAuto V2 支持来自</w:t>
      </w:r>
      <w:r>
        <w:rPr>
          <w:rFonts w:ascii="微软雅黑" w:hAnsi="微软雅黑"/>
          <w:color w:val="0066CC"/>
          <w:sz w:val="21"/>
          <w:u w:val="single"/>
        </w:rPr>
        <w:t>Foundry SAP 来源</w:t>
      </w:r>
      <w:r>
        <w:rPr>
          <w:rFonts w:ascii="微软雅黑" w:hAnsi="微软雅黑"/>
          <w:sz w:val="21"/>
        </w:rPr>
        <w:t>的数据。SAP ECC 和 S/4HANA 均被支持，无论是否有对应的 SLT 复制服务器（流式传输需要 SLT）。为了支持来源，必须满足以下最低要求：</w:t>
      </w:r>
    </w:p>
    <w:p>
      <w:pPr>
        <w:pStyle w:val="ListBullet"/>
        <w:spacing w:line="360" w:lineRule="auto" w:after="120"/>
      </w:pPr>
      <w:r>
        <w:rPr>
          <w:rFonts w:ascii="微软雅黑" w:hAnsi="微软雅黑"/>
          <w:sz w:val="21"/>
        </w:rPr>
        <w:t>SAP 管理来源 (</w:t>
      </w:r>
      <w:r>
        <w:rPr>
          <w:rFonts w:ascii="Consolas" w:hAnsi="Consolas"/>
          <w:color w:val="B43C3C"/>
          <w:sz w:val="18"/>
        </w:rPr>
        <w:t>magritte-sap-source</w:t>
      </w:r>
      <w:r>
        <w:rPr>
          <w:rFonts w:ascii="微软雅黑" w:hAnsi="微软雅黑"/>
          <w:sz w:val="21"/>
        </w:rPr>
        <w:t>) 版本：</w:t>
      </w:r>
      <w:r>
        <w:rPr>
          <w:rFonts w:ascii="微软雅黑" w:hAnsi="微软雅黑"/>
          <w:b/>
          <w:sz w:val="21"/>
        </w:rPr>
        <w:t>1.25.0</w:t>
      </w:r>
    </w:p>
    <w:p>
      <w:pPr>
        <w:pStyle w:val="ListBullet"/>
        <w:spacing w:line="360" w:lineRule="auto" w:after="120"/>
      </w:pPr>
      <w:r>
        <w:rPr>
          <w:rFonts w:ascii="微软雅黑" w:hAnsi="微软雅黑"/>
          <w:color w:val="0066CC"/>
          <w:sz w:val="21"/>
          <w:u w:val="single"/>
        </w:rPr>
        <w:t>Palantir Foundry SAP 连接器</w:t>
      </w:r>
      <w:r>
        <w:rPr>
          <w:rFonts w:ascii="微软雅黑" w:hAnsi="微软雅黑"/>
          <w:sz w:val="21"/>
        </w:rPr>
        <w:t>版本：</w:t>
      </w:r>
      <w:r>
        <w:rPr>
          <w:rFonts w:ascii="微软雅黑" w:hAnsi="微软雅黑"/>
          <w:b/>
          <w:sz w:val="21"/>
        </w:rPr>
        <w:t>SP26 (2.26.0)</w:t>
      </w:r>
    </w:p>
    <w:p>
      <w:pPr>
        <w:spacing w:line="360" w:lineRule="auto" w:after="120"/>
      </w:pPr>
      <w:r>
        <w:rPr>
          <w:rFonts w:ascii="微软雅黑" w:hAnsi="微软雅黑"/>
          <w:sz w:val="21"/>
        </w:rPr>
        <w:t>有关如何在 Foundry 中设置 SAP 的更多信息，请查看</w:t>
      </w:r>
      <w:r>
        <w:rPr>
          <w:rFonts w:ascii="微软雅黑" w:hAnsi="微软雅黑"/>
          <w:color w:val="0066CC"/>
          <w:sz w:val="21"/>
          <w:u w:val="single"/>
        </w:rPr>
        <w:t>SAP 附加组件安装指南</w:t>
      </w:r>
      <w:r>
        <w:rPr>
          <w:rFonts w:ascii="微软雅黑" w:hAnsi="微软雅黑"/>
          <w:sz w:val="21"/>
        </w:rPr>
        <w:t>。</w:t>
      </w:r>
    </w:p>
    <w:p>
      <w:pPr>
        <w:pStyle w:val="Heading3"/>
      </w:pPr>
      <w:r>
        <w:rPr>
          <w:rFonts w:ascii="微软雅黑" w:hAnsi="微软雅黑"/>
        </w:rPr>
        <w:t>基于文件夹的数据</w:t>
      </w:r>
    </w:p>
    <w:p>
      <w:pPr>
        <w:spacing w:line="360" w:lineRule="auto" w:after="120"/>
      </w:pPr>
      <w:r>
        <w:rPr>
          <w:rFonts w:ascii="微软雅黑" w:hAnsi="微软雅黑"/>
          <w:sz w:val="21"/>
        </w:rPr>
        <w:t>HyperAuto V2 也可以从 SAP 数据的静态切片中工作，而无需直接连接。在这种情况下，您需要将以下数据字典表上传为数据集：</w:t>
      </w:r>
    </w:p>
    <w:p>
      <w:pPr>
        <w:pStyle w:val="ListBullet"/>
        <w:spacing w:line="360" w:lineRule="auto" w:after="120"/>
      </w:pPr>
      <w:r>
        <w:rPr>
          <w:rFonts w:ascii="微软雅黑" w:hAnsi="微软雅黑"/>
          <w:sz w:val="21"/>
        </w:rPr>
        <w:t>DD02L (SAP 表)</w:t>
      </w:r>
    </w:p>
    <w:p>
      <w:pPr>
        <w:pStyle w:val="ListBullet"/>
        <w:spacing w:line="360" w:lineRule="auto" w:after="120"/>
      </w:pPr>
      <w:r>
        <w:rPr>
          <w:rFonts w:ascii="微软雅黑" w:hAnsi="微软雅黑"/>
          <w:sz w:val="21"/>
        </w:rPr>
        <w:t>DD02T (SAP DD: SAP 表文本)</w:t>
      </w:r>
    </w:p>
    <w:p>
      <w:pPr>
        <w:pStyle w:val="ListBullet"/>
        <w:spacing w:line="360" w:lineRule="auto" w:after="120"/>
      </w:pPr>
      <w:r>
        <w:rPr>
          <w:rFonts w:ascii="微软雅黑" w:hAnsi="微软雅黑"/>
          <w:sz w:val="21"/>
        </w:rPr>
        <w:t>DD03L (表字段)</w:t>
      </w:r>
    </w:p>
    <w:p>
      <w:pPr>
        <w:pStyle w:val="ListBullet"/>
        <w:spacing w:line="360" w:lineRule="auto" w:after="120"/>
      </w:pPr>
      <w:r>
        <w:rPr>
          <w:rFonts w:ascii="微软雅黑" w:hAnsi="微软雅黑"/>
          <w:sz w:val="21"/>
        </w:rPr>
        <w:t>DD04T (R-3 DD: 数据元素文本)</w:t>
      </w:r>
    </w:p>
    <w:p>
      <w:pPr>
        <w:pStyle w:val="ListBullet"/>
        <w:spacing w:line="360" w:lineRule="auto" w:after="120"/>
      </w:pPr>
      <w:r>
        <w:rPr>
          <w:rFonts w:ascii="微软雅黑" w:hAnsi="微软雅黑"/>
          <w:sz w:val="21"/>
        </w:rPr>
        <w:t>DD05S (外键字段)</w:t>
      </w:r>
    </w:p>
    <w:p>
      <w:pPr>
        <w:pStyle w:val="ListBullet"/>
        <w:spacing w:line="360" w:lineRule="auto" w:after="120"/>
      </w:pPr>
      <w:r>
        <w:rPr>
          <w:rFonts w:ascii="微软雅黑" w:hAnsi="微软雅黑"/>
          <w:sz w:val="21"/>
        </w:rPr>
        <w:t>DD08L (R-3 DD: 关系定义)</w:t>
      </w:r>
    </w:p>
    <w:p>
      <w:pPr>
        <w:spacing w:line="360" w:lineRule="auto" w:after="120"/>
      </w:pPr>
      <w:r>
        <w:rPr>
          <w:rFonts w:ascii="微软雅黑" w:hAnsi="微软雅黑"/>
          <w:sz w:val="21"/>
        </w:rPr>
        <w:t>所有后续需使用 HyperAuto 处理的表都需要作为 Foundry 数据集上传到单个文件夹中。</w:t>
      </w:r>
    </w:p>
    <w:p>
      <w:pPr>
        <w:spacing w:line="360" w:lineRule="auto" w:after="120"/>
      </w:pPr>
      <w:r>
        <w:rPr>
          <w:rFonts w:ascii="微软雅黑" w:hAnsi="微软雅黑"/>
          <w:sz w:val="21"/>
        </w:rPr>
        <w:t>有关 HyperAuto 如何处理静态数据的更多信息，请查看</w:t>
      </w:r>
      <w:r>
        <w:rPr>
          <w:rFonts w:ascii="微软雅黑" w:hAnsi="微软雅黑"/>
          <w:color w:val="0066CC"/>
          <w:sz w:val="21"/>
          <w:u w:val="single"/>
        </w:rPr>
        <w:t>基于文件夹的 SAP 管道文档</w:t>
      </w:r>
      <w:r>
        <w:rPr>
          <w:rFonts w:ascii="微软雅黑" w:hAnsi="微软雅黑"/>
          <w:sz w:val="21"/>
        </w:rPr>
        <w:t>。</w:t>
      </w:r>
    </w:p>
    <w:p>
      <w:r>
        <w:br w:type="page"/>
      </w:r>
    </w:p>
    <w:p>
      <w:pPr>
        <w:pStyle w:val="Heading1"/>
      </w:pPr>
      <w:r>
        <w:rPr>
          <w:rFonts w:ascii="微软雅黑" w:hAnsi="微软雅黑"/>
        </w:rPr>
        <w:t>SDDI 控制台</w:t>
      </w:r>
    </w:p>
    <w:p>
      <w:pPr>
        <w:spacing w:line="360" w:lineRule="auto" w:after="120"/>
      </w:pPr>
      <w:r>
        <w:rPr>
          <w:rFonts w:ascii="微软雅黑" w:hAnsi="微软雅黑"/>
          <w:sz w:val="21"/>
        </w:rPr>
        <w:t># SDDI 控制台</w:t>
      </w:r>
    </w:p>
    <w:p>
      <w:r>
        <w:rPr>
          <w:rFonts w:ascii="微软雅黑" w:hAnsi="微软雅黑"/>
          <w:b/>
        </w:rPr>
        <w:t>SDDI 控制台</w:t>
      </w:r>
      <w:r>
        <w:rPr>
          <w:rFonts w:ascii="微软雅黑" w:hAnsi="微软雅黑"/>
        </w:rPr>
        <w:t>：是配置和执行 SDDI 流程的中心位置，指导您从同步创建和配置到数据管道生成和 Ontology 创建。</w:t>
      </w:r>
    </w:p>
    <w:p>
      <w:pPr>
        <w:spacing w:line="360" w:lineRule="auto" w:after="120"/>
      </w:pPr>
      <w:r>
        <w:rPr>
          <w:rFonts w:ascii="微软雅黑" w:hAnsi="微软雅黑"/>
          <w:sz w:val="21"/>
        </w:rPr>
        <w:t>控制台的左侧面板列出了各个 SDDI 流程步骤以及这些步骤的状态。点击每个步骤时，右侧主区域会显示您可以对该特定 SDDI 流程步骤执行的不同操作。</w:t>
      </w:r>
    </w:p>
    <w:p>
      <w:pPr>
        <w:pStyle w:val="Heading2"/>
      </w:pPr>
      <w:r>
        <w:rPr>
          <w:rFonts w:ascii="微软雅黑" w:hAnsi="微软雅黑"/>
        </w:rPr>
        <w:t>初始状态</w:t>
      </w:r>
    </w:p>
    <w:p>
      <w:pPr>
        <w:spacing w:line="360" w:lineRule="auto" w:after="120"/>
      </w:pPr>
      <w:r>
        <w:rPr>
          <w:rFonts w:ascii="微软雅黑" w:hAnsi="微软雅黑"/>
          <w:sz w:val="21"/>
        </w:rPr>
        <w:t>在开始之前，需要将控制台与一个功能齐全的 SDDI 实例连接。</w:t>
      </w:r>
    </w:p>
    <w:p>
      <w:pPr>
        <w:spacing w:line="360" w:lineRule="auto" w:after="120"/>
      </w:pPr>
      <w:r>
        <w:rPr>
          <w:rFonts w:ascii="微软雅黑" w:hAnsi="微软雅黑"/>
          <w:sz w:val="21"/>
        </w:rPr>
        <w:t>要配置您的第一个 SDDI 实例，请参阅</w:t>
      </w:r>
      <w:r>
        <w:rPr>
          <w:rFonts w:ascii="微软雅黑" w:hAnsi="微软雅黑"/>
          <w:color w:val="0066CC"/>
          <w:sz w:val="21"/>
          <w:u w:val="single"/>
        </w:rPr>
        <w:t>入门</w:t>
      </w:r>
      <w:r>
        <w:rPr>
          <w:rFonts w:ascii="微软雅黑" w:hAnsi="微软雅黑"/>
          <w:sz w:val="21"/>
        </w:rPr>
        <w:t>。</w:t>
      </w:r>
    </w:p>
    <w:p>
      <w:pPr>
        <w:pStyle w:val="Heading2"/>
      </w:pPr>
      <w:r>
        <w:rPr>
          <w:rFonts w:ascii="微软雅黑" w:hAnsi="微软雅黑"/>
        </w:rPr>
        <w:t>访问现有控制台</w:t>
      </w:r>
    </w:p>
    <w:p>
      <w:pPr>
        <w:spacing w:line="360" w:lineRule="auto" w:after="120"/>
      </w:pPr>
      <w:r>
        <w:rPr>
          <w:rFonts w:ascii="微软雅黑" w:hAnsi="微软雅黑"/>
          <w:sz w:val="21"/>
        </w:rPr>
        <w:t>要查看已配置的 SDDI 实例，请导航到数据连接中附加源的</w:t>
      </w:r>
      <w:r>
        <w:rPr>
          <w:rFonts w:ascii="微软雅黑" w:hAnsi="微软雅黑"/>
          <w:b/>
          <w:sz w:val="21"/>
        </w:rPr>
        <w:t>源概览</w:t>
      </w:r>
      <w:r>
        <w:rPr>
          <w:rFonts w:ascii="微软雅黑" w:hAnsi="微软雅黑"/>
          <w:sz w:val="21"/>
        </w:rPr>
        <w:t>页面，并选择</w:t>
      </w:r>
      <w:r>
        <w:rPr>
          <w:rFonts w:ascii="微软雅黑" w:hAnsi="微软雅黑"/>
          <w:b/>
          <w:sz w:val="21"/>
        </w:rPr>
        <w:t>编辑管道生成器设置</w:t>
      </w:r>
      <w:r>
        <w:rPr>
          <w:rFonts w:ascii="微软雅黑" w:hAnsi="微软雅黑"/>
          <w:sz w:val="21"/>
        </w:rPr>
        <w:t>。</w:t>
      </w:r>
    </w:p>
    <w:p>
      <w:pPr>
        <w:spacing w:after="40"/>
        <w:jc w:val="center"/>
      </w:pPr>
      <w:r>
        <w:rPr>
          <w:i/>
          <w:color w:val="646464"/>
          <w:sz w:val="18"/>
        </w:rPr>
        <w:t>图：SDDI 源概览 编辑管道生成器设置</w:t>
      </w:r>
    </w:p>
    <w:p>
      <w:pPr>
        <w:spacing w:before="120" w:after="240"/>
        <w:jc w:val="center"/>
      </w:pPr>
      <w:r>
        <w:drawing>
          <wp:inline xmlns:a="http://schemas.openxmlformats.org/drawingml/2006/main" xmlns:pic="http://schemas.openxmlformats.org/drawingml/2006/picture">
            <wp:extent cx="5029200" cy="2792440"/>
            <wp:docPr id="42" name="Picture 42"/>
            <wp:cNvGraphicFramePr>
              <a:graphicFrameLocks noChangeAspect="1"/>
            </wp:cNvGraphicFramePr>
            <a:graphic>
              <a:graphicData uri="http://schemas.openxmlformats.org/drawingml/2006/picture">
                <pic:pic>
                  <pic:nvPicPr>
                    <pic:cNvPr id="0" name="v1-sddi-source-exploration.png"/>
                    <pic:cNvPicPr/>
                  </pic:nvPicPr>
                  <pic:blipFill>
                    <a:blip r:embed="rId45"/>
                    <a:stretch>
                      <a:fillRect/>
                    </a:stretch>
                  </pic:blipFill>
                  <pic:spPr>
                    <a:xfrm>
                      <a:off x="0" y="0"/>
                      <a:ext cx="5029200" cy="2792440"/>
                    </a:xfrm>
                    <a:prstGeom prst="rect"/>
                  </pic:spPr>
                </pic:pic>
              </a:graphicData>
            </a:graphic>
          </wp:inline>
        </w:drawing>
      </w:r>
    </w:p>
    <w:p>
      <w:pPr>
        <w:pStyle w:val="Heading2"/>
      </w:pPr>
      <w:r>
        <w:rPr>
          <w:rFonts w:ascii="微软雅黑" w:hAnsi="微软雅黑"/>
        </w:rPr>
        <w:t>控制台控件</w:t>
      </w:r>
    </w:p>
    <w:p>
      <w:pPr>
        <w:spacing w:line="360" w:lineRule="auto" w:after="120"/>
      </w:pPr>
      <w:r>
        <w:rPr>
          <w:rFonts w:ascii="微软雅黑" w:hAnsi="微软雅黑"/>
          <w:sz w:val="21"/>
        </w:rPr>
        <w:t>控制台的左侧面板列出了三个阶段：</w:t>
      </w:r>
    </w:p>
    <w:p>
      <w:pPr>
        <w:pStyle w:val="ListNumber"/>
        <w:spacing w:line="360" w:lineRule="auto" w:after="120"/>
      </w:pPr>
      <w:r>
        <w:rPr>
          <w:rFonts w:ascii="微软雅黑" w:hAnsi="微软雅黑"/>
          <w:color w:val="0066CC"/>
          <w:sz w:val="21"/>
          <w:u w:val="single"/>
        </w:rPr>
        <w:t>同步数据</w:t>
      </w:r>
    </w:p>
    <w:p>
      <w:pPr>
        <w:pStyle w:val="ListNumber"/>
        <w:spacing w:line="360" w:lineRule="auto" w:after="120"/>
      </w:pPr>
      <w:r>
        <w:rPr>
          <w:rFonts w:ascii="微软雅黑" w:hAnsi="微软雅黑"/>
          <w:color w:val="0066CC"/>
          <w:sz w:val="21"/>
          <w:u w:val="single"/>
        </w:rPr>
        <w:t>管道生成</w:t>
      </w:r>
    </w:p>
    <w:p>
      <w:pPr>
        <w:pStyle w:val="ListNumber"/>
        <w:spacing w:line="360" w:lineRule="auto" w:after="120"/>
      </w:pPr>
      <w:r>
        <w:rPr>
          <w:rFonts w:ascii="微软雅黑" w:hAnsi="微软雅黑"/>
          <w:color w:val="0066CC"/>
          <w:sz w:val="21"/>
          <w:u w:val="single"/>
        </w:rPr>
        <w:t>Ontology 更改</w:t>
      </w:r>
    </w:p>
    <w:p>
      <w:pPr>
        <w:pStyle w:val="Heading3"/>
      </w:pPr>
      <w:r>
        <w:rPr>
          <w:rFonts w:ascii="微软雅黑" w:hAnsi="微软雅黑"/>
        </w:rPr>
        <w:t>同步数据</w:t>
      </w:r>
    </w:p>
    <w:p>
      <w:pPr>
        <w:spacing w:line="360" w:lineRule="auto" w:after="120"/>
      </w:pPr>
      <w:r>
        <w:rPr>
          <w:rFonts w:ascii="微软雅黑" w:hAnsi="微软雅黑"/>
          <w:sz w:val="21"/>
        </w:rPr>
        <w:t>在同步数据阶段，您可以探索来自源的数据并创建新的同步到 Foundry。它还会自动配置 Foundry 中所需的元数据表，以确保 SDDI 正确运行。最后，它允许您触发将这些数据摄入到 Foundry。</w:t>
      </w:r>
    </w:p>
    <w:p>
      <w:pPr>
        <w:spacing w:after="40"/>
        <w:jc w:val="center"/>
      </w:pPr>
      <w:r>
        <w:rPr>
          <w:i/>
          <w:color w:val="646464"/>
          <w:sz w:val="18"/>
        </w:rPr>
        <w:t>图：SDDI 控制台 同步数据</w:t>
      </w:r>
    </w:p>
    <w:p>
      <w:pPr>
        <w:spacing w:before="120" w:after="240"/>
        <w:jc w:val="center"/>
      </w:pPr>
      <w:r>
        <w:drawing>
          <wp:inline xmlns:a="http://schemas.openxmlformats.org/drawingml/2006/main" xmlns:pic="http://schemas.openxmlformats.org/drawingml/2006/picture">
            <wp:extent cx="5029200" cy="2851376"/>
            <wp:docPr id="43" name="Picture 43"/>
            <wp:cNvGraphicFramePr>
              <a:graphicFrameLocks noChangeAspect="1"/>
            </wp:cNvGraphicFramePr>
            <a:graphic>
              <a:graphicData uri="http://schemas.openxmlformats.org/drawingml/2006/picture">
                <pic:pic>
                  <pic:nvPicPr>
                    <pic:cNvPr id="0" name="v1-sddi-cockpit-sync-data.png"/>
                    <pic:cNvPicPr/>
                  </pic:nvPicPr>
                  <pic:blipFill>
                    <a:blip r:embed="rId46"/>
                    <a:stretch>
                      <a:fillRect/>
                    </a:stretch>
                  </pic:blipFill>
                  <pic:spPr>
                    <a:xfrm>
                      <a:off x="0" y="0"/>
                      <a:ext cx="5029200" cy="2851376"/>
                    </a:xfrm>
                    <a:prstGeom prst="rect"/>
                  </pic:spPr>
                </pic:pic>
              </a:graphicData>
            </a:graphic>
          </wp:inline>
        </w:drawing>
      </w:r>
    </w:p>
    <w:p>
      <w:pPr>
        <w:pStyle w:val="Heading3"/>
      </w:pPr>
      <w:r>
        <w:rPr>
          <w:rFonts w:ascii="微软雅黑" w:hAnsi="微软雅黑"/>
        </w:rPr>
        <w:t>管道生成</w:t>
      </w:r>
    </w:p>
    <w:p>
      <w:pPr>
        <w:spacing w:line="360" w:lineRule="auto" w:after="120"/>
      </w:pPr>
      <w:r>
        <w:rPr>
          <w:rFonts w:ascii="微软雅黑" w:hAnsi="微软雅黑"/>
          <w:sz w:val="21"/>
        </w:rPr>
        <w:t>管道生成阶段允许您通过点选与 SDDI 自动管道生成器库进行交互，以生成和搭建数据管道，并导航到 SDDI 数据沿袭。</w:t>
      </w:r>
    </w:p>
    <w:p>
      <w:pPr>
        <w:spacing w:line="360" w:lineRule="auto" w:after="120"/>
      </w:pPr>
      <w:r>
        <w:rPr>
          <w:rFonts w:ascii="微软雅黑" w:hAnsi="微软雅黑"/>
          <w:sz w:val="21"/>
        </w:rPr>
        <w:t>管道配置仅适用于非 SAP 源。对于 SAP 源，管道配置是在 SDDI SAP 源浏览器中设置的。</w:t>
      </w:r>
    </w:p>
    <w:p>
      <w:pPr>
        <w:spacing w:after="40"/>
        <w:jc w:val="center"/>
      </w:pPr>
      <w:r>
        <w:rPr>
          <w:i/>
          <w:color w:val="646464"/>
          <w:sz w:val="18"/>
        </w:rPr>
        <w:t>图：SDDI 控制台 管道生成</w:t>
      </w:r>
    </w:p>
    <w:p>
      <w:pPr>
        <w:spacing w:before="120" w:after="240"/>
        <w:jc w:val="center"/>
      </w:pPr>
      <w:r>
        <w:drawing>
          <wp:inline xmlns:a="http://schemas.openxmlformats.org/drawingml/2006/main" xmlns:pic="http://schemas.openxmlformats.org/drawingml/2006/picture">
            <wp:extent cx="5029200" cy="2789119"/>
            <wp:docPr id="44" name="Picture 44"/>
            <wp:cNvGraphicFramePr>
              <a:graphicFrameLocks noChangeAspect="1"/>
            </wp:cNvGraphicFramePr>
            <a:graphic>
              <a:graphicData uri="http://schemas.openxmlformats.org/drawingml/2006/picture">
                <pic:pic>
                  <pic:nvPicPr>
                    <pic:cNvPr id="0" name="v1-sddi-cockpit-pipeline-generation.png"/>
                    <pic:cNvPicPr/>
                  </pic:nvPicPr>
                  <pic:blipFill>
                    <a:blip r:embed="rId47"/>
                    <a:stretch>
                      <a:fillRect/>
                    </a:stretch>
                  </pic:blipFill>
                  <pic:spPr>
                    <a:xfrm>
                      <a:off x="0" y="0"/>
                      <a:ext cx="5029200" cy="2789119"/>
                    </a:xfrm>
                    <a:prstGeom prst="rect"/>
                  </pic:spPr>
                </pic:pic>
              </a:graphicData>
            </a:graphic>
          </wp:inline>
        </w:drawing>
      </w:r>
    </w:p>
    <w:p>
      <w:pPr>
        <w:pStyle w:val="Heading3"/>
      </w:pPr>
      <w:r>
        <w:rPr>
          <w:rFonts w:ascii="微软雅黑" w:hAnsi="微软雅黑"/>
        </w:rPr>
        <w:t>Ontology 更改</w:t>
      </w:r>
    </w:p>
    <w:p>
      <w:pPr>
        <w:spacing w:line="360" w:lineRule="auto" w:after="120"/>
      </w:pPr>
      <w:r>
        <w:rPr>
          <w:rFonts w:ascii="微软雅黑" w:hAnsi="微软雅黑"/>
          <w:sz w:val="21"/>
        </w:rPr>
        <w:t>在 Ontology 更改步骤中，您可以预览可以基于正在指定和处理的数据集批量进行的 Ontology 更改。</w:t>
      </w:r>
    </w:p>
    <w:p>
      <w:pPr>
        <w:spacing w:after="40"/>
        <w:jc w:val="center"/>
      </w:pPr>
      <w:r>
        <w:rPr>
          <w:i/>
          <w:color w:val="646464"/>
          <w:sz w:val="18"/>
        </w:rPr>
        <w:t>图：批量 Ontology 生成</w:t>
      </w:r>
    </w:p>
    <w:p>
      <w:pPr>
        <w:spacing w:before="120" w:after="240"/>
        <w:jc w:val="center"/>
      </w:pPr>
      <w:r>
        <w:drawing>
          <wp:inline xmlns:a="http://schemas.openxmlformats.org/drawingml/2006/main" xmlns:pic="http://schemas.openxmlformats.org/drawingml/2006/picture">
            <wp:extent cx="5029200" cy="2851376"/>
            <wp:docPr id="45" name="Picture 45"/>
            <wp:cNvGraphicFramePr>
              <a:graphicFrameLocks noChangeAspect="1"/>
            </wp:cNvGraphicFramePr>
            <a:graphic>
              <a:graphicData uri="http://schemas.openxmlformats.org/drawingml/2006/picture">
                <pic:pic>
                  <pic:nvPicPr>
                    <pic:cNvPr id="0" name="v1-sddi-cockpit-batch-ontology-generation.png"/>
                    <pic:cNvPicPr/>
                  </pic:nvPicPr>
                  <pic:blipFill>
                    <a:blip r:embed="rId12"/>
                    <a:stretch>
                      <a:fillRect/>
                    </a:stretch>
                  </pic:blipFill>
                  <pic:spPr>
                    <a:xfrm>
                      <a:off x="0" y="0"/>
                      <a:ext cx="5029200" cy="2851376"/>
                    </a:xfrm>
                    <a:prstGeom prst="rect"/>
                  </pic:spPr>
                </pic:pic>
              </a:graphicData>
            </a:graphic>
          </wp:inline>
        </w:drawing>
      </w:r>
    </w:p>
    <w:p>
      <w:pPr>
        <w:pStyle w:val="Heading2"/>
      </w:pPr>
      <w:r>
        <w:rPr>
          <w:rFonts w:ascii="微软雅黑" w:hAnsi="微软雅黑"/>
        </w:rPr>
        <w:t>访问故障排除</w:t>
      </w:r>
    </w:p>
    <w:p>
      <w:pPr>
        <w:spacing w:line="360" w:lineRule="auto" w:after="120"/>
      </w:pPr>
      <w:r>
        <w:rPr>
          <w:rFonts w:ascii="微软雅黑" w:hAnsi="微软雅黑"/>
          <w:sz w:val="21"/>
        </w:rPr>
        <w:t>从工作区导航栏下的</w:t>
      </w:r>
      <w:r>
        <w:rPr>
          <w:rFonts w:ascii="微软雅黑" w:hAnsi="微软雅黑"/>
          <w:b/>
          <w:sz w:val="21"/>
        </w:rPr>
        <w:t>软件定义数据集成</w:t>
      </w:r>
      <w:r>
        <w:rPr>
          <w:rFonts w:ascii="微软雅黑" w:hAnsi="微软雅黑"/>
          <w:sz w:val="21"/>
        </w:rPr>
        <w:t>中访问控制台。</w:t>
      </w:r>
    </w:p>
    <w:p>
      <w:pPr>
        <w:spacing w:line="360" w:lineRule="auto" w:after="120"/>
      </w:pPr>
      <w:r>
        <w:rPr>
          <w:rFonts w:ascii="微软雅黑" w:hAnsi="微软雅黑"/>
          <w:sz w:val="21"/>
        </w:rPr>
        <w:t>权限可以通过控制面板的</w:t>
      </w:r>
      <w:r>
        <w:rPr>
          <w:rFonts w:ascii="微软雅黑" w:hAnsi="微软雅黑"/>
          <w:b/>
          <w:sz w:val="21"/>
        </w:rPr>
        <w:t>应用程序访问</w:t>
      </w:r>
      <w:r>
        <w:rPr>
          <w:rFonts w:ascii="微软雅黑" w:hAnsi="微软雅黑"/>
          <w:sz w:val="21"/>
        </w:rPr>
        <w:t>页面进行配置。如果您没有访问 SDDI 控制台的权限，请联系您的 Foundry 平台 IT 管理员或 Palantir 支持。</w:t>
      </w:r>
    </w:p>
    <w:p>
      <w:r>
        <w:br w:type="page"/>
      </w:r>
    </w:p>
    <w:p>
      <w:pPr>
        <w:pStyle w:val="Heading1"/>
      </w:pPr>
      <w:r>
        <w:rPr>
          <w:rFonts w:ascii="微软雅黑" w:hAnsi="微软雅黑"/>
        </w:rPr>
        <w:t>配置参考</w:t>
      </w:r>
    </w:p>
    <w:p>
      <w:pPr>
        <w:spacing w:line="360" w:lineRule="auto" w:after="120"/>
      </w:pPr>
      <w:r>
        <w:rPr>
          <w:rFonts w:ascii="微软雅黑" w:hAnsi="微软雅黑"/>
          <w:sz w:val="21"/>
        </w:rPr>
        <w:t># 配置参考</w:t>
      </w:r>
    </w:p>
    <w:p>
      <w:pPr>
        <w:spacing w:line="360" w:lineRule="auto" w:after="120"/>
      </w:pPr>
      <w:r>
        <w:rPr>
          <w:rFonts w:ascii="微软雅黑" w:hAnsi="微软雅黑"/>
          <w:sz w:val="21"/>
        </w:rPr>
        <w:t>本节介绍了高级手动设置，如果未正确应用，可能会导致您的SDDI管道处于损坏状态。在部署到生产环境之前，请始终在分支上验证更改。</w:t>
      </w:r>
    </w:p>
    <w:p>
      <w:pPr>
        <w:spacing w:line="360" w:lineRule="auto" w:after="120"/>
      </w:pPr>
      <w:r>
        <w:rPr>
          <w:rFonts w:ascii="微软雅黑" w:hAnsi="微软雅黑"/>
          <w:sz w:val="21"/>
        </w:rPr>
        <w:t>SDDI的管道由一个全自动代码库生成。</w:t>
      </w:r>
      <w:r>
        <w:rPr>
          <w:rFonts w:ascii="微软雅黑" w:hAnsi="微软雅黑"/>
          <w:color w:val="0066CC"/>
          <w:sz w:val="21"/>
          <w:u w:val="single"/>
        </w:rPr>
        <w:t>Cockpit</w:t>
      </w:r>
      <w:r>
        <w:rPr>
          <w:rFonts w:ascii="微软雅黑" w:hAnsi="微软雅黑"/>
          <w:sz w:val="21"/>
        </w:rPr>
        <w:t>是与这些配置交互的默认位置，但您可能需要手动修改配置文件以获取高级参数或配置非标准源类型。</w:t>
      </w:r>
    </w:p>
    <w:p>
      <w:pPr>
        <w:spacing w:line="360" w:lineRule="auto" w:after="120"/>
      </w:pPr>
      <w:r>
        <w:rPr>
          <w:rFonts w:ascii="微软雅黑" w:hAnsi="微软雅黑"/>
          <w:sz w:val="21"/>
        </w:rPr>
        <w:t>要查看所涉及的步骤，请阅读关于</w:t>
      </w:r>
      <w:r>
        <w:rPr>
          <w:rFonts w:ascii="微软雅黑" w:hAnsi="微软雅黑"/>
          <w:color w:val="0066CC"/>
          <w:sz w:val="21"/>
          <w:u w:val="single"/>
        </w:rPr>
        <w:t>管道生成</w:t>
      </w:r>
      <w:r>
        <w:rPr>
          <w:rFonts w:ascii="微软雅黑" w:hAnsi="微软雅黑"/>
          <w:sz w:val="21"/>
        </w:rPr>
        <w:t>的内容。</w:t>
      </w:r>
    </w:p>
    <w:p>
      <w:pPr>
        <w:spacing w:line="360" w:lineRule="auto" w:after="120"/>
      </w:pPr>
      <w:r>
        <w:rPr>
          <w:rFonts w:ascii="微软雅黑" w:hAnsi="微软雅黑"/>
          <w:sz w:val="21"/>
        </w:rPr>
        <w:t>配置在位于</w:t>
      </w:r>
      <w:r>
        <w:rPr>
          <w:rFonts w:ascii="Consolas" w:hAnsi="Consolas"/>
          <w:color w:val="B43C3C"/>
          <w:sz w:val="18"/>
        </w:rPr>
        <w:t>transforms-bellhop/src/config/</w:t>
      </w:r>
      <w:r>
        <w:rPr>
          <w:rFonts w:ascii="微软雅黑" w:hAnsi="微软雅黑"/>
          <w:sz w:val="21"/>
        </w:rPr>
        <w:t>文件夹中的两个主要文件中进行：</w:t>
      </w:r>
    </w:p>
    <w:p>
      <w:pPr>
        <w:pStyle w:val="ListBullet"/>
        <w:spacing w:line="360" w:lineRule="auto" w:after="120"/>
      </w:pPr>
      <w:r>
        <w:rPr>
          <w:rFonts w:ascii="微软雅黑" w:hAnsi="微软雅黑"/>
          <w:color w:val="0066CC"/>
          <w:sz w:val="21"/>
          <w:u w:val="single"/>
        </w:rPr>
        <w:t>SourceConfig.yaml</w:t>
      </w:r>
    </w:p>
    <w:p>
      <w:pPr>
        <w:pStyle w:val="ListBullet"/>
        <w:spacing w:line="360" w:lineRule="auto" w:after="120"/>
      </w:pPr>
      <w:r>
        <w:rPr>
          <w:rFonts w:ascii="微软雅黑" w:hAnsi="微软雅黑"/>
          <w:color w:val="0066CC"/>
          <w:sz w:val="21"/>
          <w:u w:val="single"/>
        </w:rPr>
        <w:t>PipelineConfig.yaml</w:t>
      </w:r>
    </w:p>
    <w:p>
      <w:pPr>
        <w:pStyle w:val="Heading2"/>
      </w:pPr>
      <w:r>
        <w:rPr>
          <w:rFonts w:ascii="微软雅黑" w:hAnsi="微软雅黑"/>
        </w:rPr>
        <w:t>SourceConfig.yaml</w:t>
      </w:r>
    </w:p>
    <w:p>
      <w:pPr>
        <w:spacing w:line="360" w:lineRule="auto" w:after="120"/>
      </w:pPr>
      <w:r>
        <w:rPr>
          <w:rFonts w:ascii="微软雅黑" w:hAnsi="微软雅黑"/>
          <w:sz w:val="21"/>
        </w:rPr>
        <w:t>以下是一个完整定义的SourceConfig文件的示例。</w:t>
      </w:r>
    </w:p>
    <w:p>
      <w:pPr>
        <w:spacing w:before="80" w:after="80"/>
        <w:ind w:left="567"/>
      </w:pPr>
      <w:r>
        <w:rPr>
          <w:rFonts w:ascii="Consolas" w:hAnsi="Consolas"/>
          <w:color w:val="505050"/>
          <w:sz w:val="18"/>
        </w:rPr>
        <w:t>sourceName: MY_SOURCE  # 数据源名称</w:t>
        <w:br/>
        <w:t>sourceRid: ri.magritte..source.abcdefgh-1234-5678-910a-zyxwvut  # 数据源的唯一标识符</w:t>
        <w:br/>
        <w:t>sapContext:</w:t>
        <w:br/>
        <w:t xml:space="preserve">  type: direct  # 数据连接类型，直接连接</w:t>
        <w:br/>
        <w:t>rawFolderStructure:</w:t>
        <w:br/>
        <w:t xml:space="preserve">  raw: /HyperAuto/source/raw  # 原始数据存储路径</w:t>
        <w:br/>
        <w:t xml:space="preserve">  dataDictionary: /HyperAuto/source/metadata  # 数据字典存储路径</w:t>
        <w:br/>
        <w:t>cleaningLibraries:</w:t>
        <w:br/>
        <w:t xml:space="preserve">  - convert_all_columns_to_clean_types  # 数据清洗库，用于将所有列转换为清晰类型</w:t>
        <w:br/>
        <w:t>deploymentSemanticVersion: 2  # 部署的语义版本</w:t>
        <w:br/>
        <w:t>metadataSparkProfiles:</w:t>
        <w:br/>
        <w:t xml:space="preserve">  - DRIVER_MEMORY_MEDIUM  # Spark配置，驱动器内存中等</w:t>
        <w:br/>
        <w:t>languageKey: 'E'  # 语言键，'E'代表英语</w:t>
        <w:br/>
        <w:t>tables:</w:t>
        <w:br/>
        <w:t xml:space="preserve">  - tableName: ABCD  # 表名</w:t>
        <w:br/>
        <w:t xml:space="preserve">    datasetTransformsConfig:</w:t>
        <w:br/>
        <w:t xml:space="preserve">      datasetName: ABCD  # 数据集名称</w:t>
        <w:br/>
        <w:t xml:space="preserve">      deduplicationComparisonColumns: []  # 去重比较列，当前为空</w:t>
        <w:br/>
        <w:t xml:space="preserve">      batchUnionComponents: []  # 批量合并组件，当前为空</w:t>
        <w:br/>
        <w:t xml:space="preserve">      tableCleaningLibraries: []  # 表清洗库，当前为空</w:t>
        <w:br/>
        <w:t xml:space="preserve">  - tableName: WXYZ  # 表名</w:t>
        <w:br/>
        <w:t xml:space="preserve">    datasetTransformsConfig:</w:t>
        <w:br/>
        <w:t xml:space="preserve">      datasetName: WXYZ  # 数据集名称</w:t>
        <w:br/>
        <w:t xml:space="preserve">      deduplicationComparisonColumns:</w:t>
        <w:br/>
        <w:t xml:space="preserve">        - /PALANTIR/TIMESTAMP  # 去重比较列，时间戳</w:t>
        <w:br/>
        <w:t xml:space="preserve">        - /PALANTIR/ROWNO  # 去重比较列，行号</w:t>
        <w:br/>
        <w:t xml:space="preserve">      batchUnionComponents:</w:t>
        <w:br/>
        <w:t xml:space="preserve">        - WXYZ_historical  # 批量合并组件，历史数据</w:t>
        <w:br/>
        <w:t xml:space="preserve">        - WXYZ_incremental  # 批量合并组件，增量数据</w:t>
        <w:br/>
        <w:t xml:space="preserve">      tableCleaningLibraries:</w:t>
        <w:br/>
        <w:t xml:space="preserve">        - parse_timestamp_column  # 表清洗库，用于解析时间戳列</w:t>
        <w:br/>
        <w:t xml:space="preserve">      sparkProfiles:</w:t>
        <w:br/>
        <w:t xml:space="preserve">        profiles:</w:t>
        <w:br/>
        <w:t xml:space="preserve">          - EXECUTOR_MEMORY_MEDIUM  # Spark配置，执行器内存中等</w:t>
        <w:br/>
        <w:t xml:space="preserve">          - NUM_EXECUTORS_4  # Spark配置，执行器数量为4</w:t>
      </w:r>
    </w:p>
    <w:p>
      <w:pPr>
        <w:spacing w:line="360" w:lineRule="auto" w:after="120"/>
      </w:pPr>
      <w:r>
        <w:rPr>
          <w:rFonts w:ascii="微软雅黑" w:hAnsi="微软雅黑"/>
          <w:sz w:val="21"/>
        </w:rPr>
        <w:t>上述YAML配置文件用于定义数据源及其相关的表信息，主要涉及数据清洗、去重、批量合并和Spark执行环境设置等内容。</w:t>
      </w:r>
    </w:p>
    <w:p>
      <w:pPr>
        <w:pStyle w:val="Heading3"/>
      </w:pPr>
      <w:r>
        <w:rPr>
          <w:rFonts w:ascii="微软雅黑" w:hAnsi="微软雅黑"/>
        </w:rPr>
        <w:t>参数描述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参数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`sourceName`</w:t>
            </w:r>
          </w:p>
        </w:tc>
        <w:tc>
          <w:tcPr>
            <w:tcW w:type="dxa" w:w="4451"/>
          </w:tcPr>
          <w:p>
            <w:pPr>
              <w:spacing w:after="40" w:before="40"/>
            </w:pPr>
            <w:r>
              <w:rPr>
                <w:rFonts w:ascii="微软雅黑" w:hAnsi="微软雅黑"/>
                <w:sz w:val="20"/>
              </w:rPr>
              <w:t>用于识别源系统的名称。用于为主键和外键添加前缀。</w:t>
            </w:r>
          </w:p>
        </w:tc>
      </w:tr>
      <w:tr>
        <w:tc>
          <w:tcPr>
            <w:tcW w:type="dxa" w:w="4451"/>
          </w:tcPr>
          <w:p>
            <w:pPr>
              <w:spacing w:after="40" w:before="40"/>
            </w:pPr>
            <w:r>
              <w:rPr>
                <w:rFonts w:ascii="微软雅黑" w:hAnsi="微软雅黑"/>
                <w:sz w:val="20"/>
              </w:rPr>
              <w:t>`sourceRid`</w:t>
            </w:r>
          </w:p>
        </w:tc>
        <w:tc>
          <w:tcPr>
            <w:tcW w:type="dxa" w:w="4451"/>
          </w:tcPr>
          <w:p>
            <w:pPr>
              <w:spacing w:after="40" w:before="40"/>
            </w:pPr>
            <w:r>
              <w:rPr>
                <w:rFonts w:ascii="微软雅黑" w:hAnsi="微软雅黑"/>
                <w:sz w:val="20"/>
              </w:rPr>
              <w:t>附加到此SDDI实例的源的RID。</w:t>
            </w:r>
          </w:p>
        </w:tc>
      </w:tr>
      <w:tr>
        <w:tc>
          <w:tcPr>
            <w:tcW w:type="dxa" w:w="4451"/>
          </w:tcPr>
          <w:p>
            <w:pPr>
              <w:spacing w:after="40" w:before="40"/>
            </w:pPr>
            <w:r>
              <w:rPr>
                <w:rFonts w:ascii="微软雅黑" w:hAnsi="微软雅黑"/>
                <w:sz w:val="20"/>
              </w:rPr>
              <w:t>[`sapContext`](#sapcontext)</w:t>
            </w:r>
          </w:p>
        </w:tc>
        <w:tc>
          <w:tcPr>
            <w:tcW w:type="dxa" w:w="4451"/>
          </w:tcPr>
          <w:p>
            <w:pPr>
              <w:spacing w:after="40" w:before="40"/>
            </w:pPr>
            <w:r>
              <w:rPr>
                <w:rFonts w:ascii="微软雅黑" w:hAnsi="微软雅黑"/>
                <w:sz w:val="20"/>
              </w:rPr>
              <w:t>（非必填）SAP上下文的详细信息。</w:t>
            </w:r>
          </w:p>
        </w:tc>
      </w:tr>
      <w:tr>
        <w:tc>
          <w:tcPr>
            <w:tcW w:type="dxa" w:w="4451"/>
          </w:tcPr>
          <w:p>
            <w:pPr>
              <w:spacing w:after="40" w:before="40"/>
            </w:pPr>
            <w:r>
              <w:rPr>
                <w:rFonts w:ascii="微软雅黑" w:hAnsi="微软雅黑"/>
                <w:sz w:val="20"/>
              </w:rPr>
              <w:t>[`rawFolderStructure`](#rawfolderstructure)</w:t>
            </w:r>
          </w:p>
        </w:tc>
        <w:tc>
          <w:tcPr>
            <w:tcW w:type="dxa" w:w="4451"/>
          </w:tcPr>
          <w:p>
            <w:pPr>
              <w:spacing w:after="40" w:before="40"/>
            </w:pPr>
            <w:r>
              <w:rPr>
                <w:rFonts w:ascii="微软雅黑" w:hAnsi="微软雅黑"/>
                <w:sz w:val="20"/>
              </w:rPr>
              <w:t>定义原始数据和元数据所在的文件夹。</w:t>
            </w:r>
          </w:p>
        </w:tc>
      </w:tr>
      <w:tr>
        <w:tc>
          <w:tcPr>
            <w:tcW w:type="dxa" w:w="4451"/>
          </w:tcPr>
          <w:p>
            <w:pPr>
              <w:spacing w:after="40" w:before="40"/>
            </w:pPr>
            <w:r>
              <w:rPr>
                <w:rFonts w:ascii="微软雅黑" w:hAnsi="微软雅黑"/>
                <w:sz w:val="20"/>
              </w:rPr>
              <w:t>[`cleaningLibraries`](#cleaninglibraries)</w:t>
            </w:r>
          </w:p>
        </w:tc>
        <w:tc>
          <w:tcPr>
            <w:tcW w:type="dxa" w:w="4451"/>
          </w:tcPr>
          <w:p>
            <w:pPr>
              <w:spacing w:after="40" w:before="40"/>
            </w:pPr>
            <w:r>
              <w:rPr>
                <w:rFonts w:ascii="微软雅黑" w:hAnsi="微软雅黑"/>
                <w:sz w:val="20"/>
              </w:rPr>
              <w:t>应用于所有表的清理库列表。</w:t>
            </w:r>
          </w:p>
        </w:tc>
      </w:tr>
      <w:tr>
        <w:tc>
          <w:tcPr>
            <w:tcW w:type="dxa" w:w="4451"/>
          </w:tcPr>
          <w:p>
            <w:pPr>
              <w:spacing w:after="40" w:before="40"/>
            </w:pPr>
            <w:r>
              <w:rPr>
                <w:rFonts w:ascii="微软雅黑" w:hAnsi="微软雅黑"/>
                <w:sz w:val="20"/>
              </w:rPr>
              <w:t>[`deduplicationConfig`](#deduplicationConfig)</w:t>
            </w:r>
          </w:p>
        </w:tc>
        <w:tc>
          <w:tcPr>
            <w:tcW w:type="dxa" w:w="4451"/>
          </w:tcPr>
          <w:p>
            <w:pPr>
              <w:spacing w:after="40" w:before="40"/>
            </w:pPr>
            <w:r>
              <w:rPr>
                <w:rFonts w:ascii="微软雅黑" w:hAnsi="微软雅黑"/>
                <w:sz w:val="20"/>
              </w:rPr>
              <w:t>（非必填，默认：无）用于指定用于去重逻辑的列的配置。</w:t>
            </w:r>
          </w:p>
        </w:tc>
      </w:tr>
      <w:tr>
        <w:tc>
          <w:tcPr>
            <w:tcW w:type="dxa" w:w="4451"/>
          </w:tcPr>
          <w:p>
            <w:pPr>
              <w:spacing w:after="40" w:before="40"/>
            </w:pPr>
            <w:r>
              <w:rPr>
                <w:rFonts w:ascii="微软雅黑" w:hAnsi="微软雅黑"/>
                <w:sz w:val="20"/>
              </w:rPr>
              <w:t>[`metadataSparkProfiles`](#metadataSparkProfiles)</w:t>
            </w:r>
          </w:p>
        </w:tc>
        <w:tc>
          <w:tcPr>
            <w:tcW w:type="dxa" w:w="4451"/>
          </w:tcPr>
          <w:p>
            <w:pPr>
              <w:spacing w:after="40" w:before="40"/>
            </w:pPr>
            <w:r>
              <w:rPr>
                <w:rFonts w:ascii="微软雅黑" w:hAnsi="微软雅黑"/>
                <w:sz w:val="20"/>
              </w:rPr>
              <w:t>（非必填，默认：无）用于应用于元数据生成的Spark配置文件列表。</w:t>
            </w:r>
          </w:p>
        </w:tc>
      </w:tr>
      <w:tr>
        <w:tc>
          <w:tcPr>
            <w:tcW w:type="dxa" w:w="4451"/>
          </w:tcPr>
          <w:p>
            <w:pPr>
              <w:spacing w:after="40" w:before="40"/>
            </w:pPr>
            <w:r>
              <w:rPr>
                <w:rFonts w:ascii="微软雅黑" w:hAnsi="微软雅黑"/>
                <w:sz w:val="20"/>
              </w:rPr>
              <w:t>`languageKey`</w:t>
            </w:r>
          </w:p>
        </w:tc>
        <w:tc>
          <w:tcPr>
            <w:tcW w:type="dxa" w:w="4451"/>
          </w:tcPr>
          <w:p>
            <w:pPr>
              <w:spacing w:after="40" w:before="40"/>
            </w:pPr>
            <w:r>
              <w:rPr>
                <w:rFonts w:ascii="微软雅黑" w:hAnsi="微软雅黑"/>
                <w:sz w:val="20"/>
              </w:rPr>
              <w:t>（非必填，默认：'E'）用于丰富内容的语言。</w:t>
            </w:r>
          </w:p>
        </w:tc>
      </w:tr>
      <w:tr>
        <w:tc>
          <w:tcPr>
            <w:tcW w:type="dxa" w:w="4451"/>
          </w:tcPr>
          <w:p>
            <w:pPr>
              <w:spacing w:after="40" w:before="40"/>
            </w:pPr>
            <w:r>
              <w:rPr>
                <w:rFonts w:ascii="微软雅黑" w:hAnsi="微软雅黑"/>
                <w:sz w:val="20"/>
              </w:rPr>
              <w:t>[`deploymentSemanticVersion`](#deploymentsemanticversion)</w:t>
            </w:r>
          </w:p>
        </w:tc>
        <w:tc>
          <w:tcPr>
            <w:tcW w:type="dxa" w:w="4451"/>
          </w:tcPr>
          <w:p>
            <w:pPr>
              <w:spacing w:after="40" w:before="40"/>
            </w:pPr>
            <w:r>
              <w:rPr>
                <w:rFonts w:ascii="微软雅黑" w:hAnsi="微软雅黑"/>
                <w:sz w:val="20"/>
              </w:rPr>
              <w:t>（非必填，默认：0）管道的语义版本；递增它将强制创建快照。</w:t>
            </w:r>
          </w:p>
        </w:tc>
      </w:tr>
      <w:tr>
        <w:tc>
          <w:tcPr>
            <w:tcW w:type="dxa" w:w="4451"/>
          </w:tcPr>
          <w:p>
            <w:pPr>
              <w:spacing w:after="40" w:before="40"/>
            </w:pPr>
            <w:r>
              <w:rPr>
                <w:rFonts w:ascii="微软雅黑" w:hAnsi="微软雅黑"/>
                <w:sz w:val="20"/>
              </w:rPr>
              <w:t>[`tables`](#tables)</w:t>
            </w:r>
          </w:p>
        </w:tc>
        <w:tc>
          <w:tcPr>
            <w:tcW w:type="dxa" w:w="4451"/>
          </w:tcPr>
          <w:p>
            <w:pPr>
              <w:spacing w:after="40" w:before="40"/>
            </w:pPr>
            <w:r>
              <w:rPr>
                <w:rFonts w:ascii="微软雅黑" w:hAnsi="微软雅黑"/>
                <w:sz w:val="20"/>
              </w:rPr>
              <w:t>要由SDDI处理的源表列表。</w:t>
            </w:r>
          </w:p>
        </w:tc>
      </w:tr>
    </w:tbl>
    <w:p/>
    <w:p>
      <w:pPr>
        <w:spacing w:line="360" w:lineRule="auto" w:after="120"/>
      </w:pPr>
      <w:r>
        <w:rPr>
          <w:rFonts w:ascii="微软雅黑" w:hAnsi="微软雅黑"/>
          <w:sz w:val="21"/>
        </w:rPr>
        <w:t xml:space="preserve">#### </w:t>
      </w:r>
      <w:r>
        <w:rPr>
          <w:rFonts w:ascii="Consolas" w:hAnsi="Consolas"/>
          <w:color w:val="B43C3C"/>
          <w:sz w:val="18"/>
        </w:rPr>
        <w:t>sapContext</w:t>
      </w:r>
    </w:p>
    <w:p>
      <w:pPr>
        <w:spacing w:line="360" w:lineRule="auto" w:after="120"/>
      </w:pPr>
      <w:r>
        <w:rPr>
          <w:rFonts w:ascii="微软雅黑" w:hAnsi="微软雅黑"/>
          <w:sz w:val="21"/>
        </w:rPr>
        <w:t>（非必填）SAP上下文的详细信息。SAP Explorer将使用此信息预先选择上下文。每个上下文都需要有自己的SourceConfig文件。</w:t>
      </w:r>
    </w:p>
    <w:p>
      <w:pPr>
        <w:spacing w:line="360" w:lineRule="auto" w:after="120"/>
      </w:pPr>
      <w:r>
        <w:rPr>
          <w:rFonts w:ascii="微软雅黑" w:hAnsi="微软雅黑"/>
          <w:sz w:val="21"/>
        </w:rPr>
        <w:t xml:space="preserve">#### </w:t>
      </w:r>
      <w:r>
        <w:rPr>
          <w:rFonts w:ascii="Consolas" w:hAnsi="Consolas"/>
          <w:color w:val="B43C3C"/>
          <w:sz w:val="18"/>
        </w:rPr>
        <w:t>rawFolderStructure</w:t>
      </w:r>
    </w:p>
    <w:p>
      <w:pPr>
        <w:spacing w:line="360" w:lineRule="auto" w:after="120"/>
      </w:pPr>
      <w:r>
        <w:rPr>
          <w:rFonts w:ascii="微软雅黑" w:hAnsi="微软雅黑"/>
          <w:sz w:val="21"/>
        </w:rPr>
        <w:t>定义原始数据和元数据所在的文件夹。</w:t>
      </w:r>
    </w:p>
    <w:p>
      <w:pPr>
        <w:spacing w:line="360" w:lineRule="auto" w:after="120"/>
      </w:pPr>
      <w:r>
        <w:rPr>
          <w:rFonts w:ascii="微软雅黑" w:hAnsi="微软雅黑"/>
          <w:sz w:val="21"/>
        </w:rPr>
        <w:t>字段:</w:t>
      </w:r>
    </w:p>
    <w:p>
      <w:pPr>
        <w:pStyle w:val="ListBullet"/>
        <w:spacing w:line="360" w:lineRule="auto" w:after="120"/>
      </w:pPr>
      <w:r>
        <w:rPr>
          <w:rFonts w:ascii="微软雅黑" w:hAnsi="微软雅黑"/>
          <w:b/>
          <w:sz w:val="21"/>
        </w:rPr>
        <w:t>`raw`</w:t>
      </w:r>
      <w:r>
        <w:rPr>
          <w:rFonts w:ascii="微软雅黑" w:hAnsi="微软雅黑"/>
          <w:sz w:val="21"/>
        </w:rPr>
        <w:t>: 原始表导入的文件夹路径。</w:t>
      </w:r>
    </w:p>
    <w:p>
      <w:pPr>
        <w:pStyle w:val="ListBullet"/>
        <w:spacing w:line="360" w:lineRule="auto" w:after="120"/>
      </w:pPr>
      <w:r>
        <w:rPr>
          <w:rFonts w:ascii="微软雅黑" w:hAnsi="微软雅黑"/>
          <w:b/>
          <w:sz w:val="21"/>
        </w:rPr>
        <w:t>`dataDictionary`</w:t>
      </w:r>
      <w:r>
        <w:rPr>
          <w:rFonts w:ascii="微软雅黑" w:hAnsi="微软雅黑"/>
          <w:sz w:val="21"/>
        </w:rPr>
        <w:t>: （非必填，默认：</w:t>
      </w:r>
      <w:r>
        <w:rPr>
          <w:rFonts w:ascii="Consolas" w:hAnsi="Consolas"/>
          <w:color w:val="B43C3C"/>
          <w:sz w:val="18"/>
        </w:rPr>
        <w:t>raw</w:t>
      </w:r>
      <w:r>
        <w:rPr>
          <w:rFonts w:ascii="微软雅黑" w:hAnsi="微软雅黑"/>
          <w:sz w:val="21"/>
        </w:rPr>
        <w:t>）元数据表导入的文件夹路径。</w:t>
      </w:r>
    </w:p>
    <w:p>
      <w:pPr>
        <w:spacing w:line="360" w:lineRule="auto" w:after="120"/>
      </w:pPr>
      <w:r>
        <w:rPr>
          <w:rFonts w:ascii="微软雅黑" w:hAnsi="微软雅黑"/>
          <w:sz w:val="21"/>
        </w:rPr>
        <w:t xml:space="preserve">#### </w:t>
      </w:r>
      <w:r>
        <w:rPr>
          <w:rFonts w:ascii="Consolas" w:hAnsi="Consolas"/>
          <w:color w:val="B43C3C"/>
          <w:sz w:val="18"/>
        </w:rPr>
        <w:t>cleaningLibraries</w:t>
      </w:r>
    </w:p>
    <w:p>
      <w:pPr>
        <w:spacing w:line="360" w:lineRule="auto" w:after="120"/>
      </w:pPr>
      <w:r>
        <w:rPr>
          <w:rFonts w:ascii="微软雅黑" w:hAnsi="微软雅黑"/>
          <w:sz w:val="21"/>
        </w:rPr>
        <w:t>应用于所有表的清理库列表。清理函数在</w:t>
      </w:r>
      <w:r>
        <w:rPr>
          <w:rFonts w:ascii="Consolas" w:hAnsi="Consolas"/>
          <w:color w:val="B43C3C"/>
          <w:sz w:val="18"/>
        </w:rPr>
        <w:t>transforms-bellhop/src/software_defined_integrations/transforms/cleaned/function_libraries</w:t>
      </w:r>
      <w:r>
        <w:rPr>
          <w:rFonts w:ascii="微软雅黑" w:hAnsi="微软雅黑"/>
          <w:sz w:val="21"/>
        </w:rPr>
        <w:t>中定义。</w:t>
      </w:r>
    </w:p>
    <w:p>
      <w:pPr>
        <w:spacing w:line="360" w:lineRule="auto" w:after="120"/>
      </w:pPr>
      <w:r>
        <w:rPr>
          <w:rFonts w:ascii="微软雅黑" w:hAnsi="微软雅黑"/>
          <w:sz w:val="21"/>
        </w:rPr>
        <w:t>添加或删除函数需要增加</w:t>
      </w:r>
      <w:r>
        <w:rPr>
          <w:rFonts w:ascii="微软雅黑" w:hAnsi="微软雅黑"/>
          <w:color w:val="0066CC"/>
          <w:sz w:val="21"/>
          <w:u w:val="single"/>
        </w:rPr>
        <w:t>`deploymentSemanticVersion`</w:t>
      </w:r>
      <w:r>
        <w:rPr>
          <w:rFonts w:ascii="微软雅黑" w:hAnsi="微软雅黑"/>
          <w:sz w:val="21"/>
        </w:rPr>
        <w:t>。</w:t>
      </w:r>
    </w:p>
    <w:p>
      <w:pPr>
        <w:spacing w:line="360" w:lineRule="auto" w:after="120"/>
      </w:pPr>
      <w:r>
        <w:rPr>
          <w:rFonts w:ascii="微软雅黑" w:hAnsi="微软雅黑"/>
          <w:sz w:val="21"/>
        </w:rPr>
        <w:t xml:space="preserve">#### </w:t>
      </w:r>
      <w:r>
        <w:rPr>
          <w:rFonts w:ascii="Consolas" w:hAnsi="Consolas"/>
          <w:color w:val="B43C3C"/>
          <w:sz w:val="18"/>
        </w:rPr>
        <w:t>deduplicationConfig</w:t>
      </w:r>
    </w:p>
    <w:p>
      <w:pPr>
        <w:spacing w:line="360" w:lineRule="auto" w:after="120"/>
      </w:pPr>
      <w:r>
        <w:rPr>
          <w:rFonts w:ascii="微软雅黑" w:hAnsi="微软雅黑"/>
          <w:sz w:val="21"/>
        </w:rPr>
        <w:t>（非必填，默认：无）用于指定去重逻辑的列的配置。此处定义的配置应用于所有表。</w:t>
      </w:r>
    </w:p>
    <w:p>
      <w:pPr>
        <w:spacing w:line="360" w:lineRule="auto" w:after="120"/>
      </w:pPr>
      <w:r>
        <w:rPr>
          <w:rFonts w:ascii="微软雅黑" w:hAnsi="微软雅黑"/>
          <w:sz w:val="21"/>
        </w:rPr>
        <w:t>字段:</w:t>
      </w:r>
    </w:p>
    <w:p>
      <w:pPr>
        <w:pStyle w:val="ListBullet"/>
        <w:spacing w:line="360" w:lineRule="auto" w:after="120"/>
      </w:pPr>
      <w:r>
        <w:rPr>
          <w:rFonts w:ascii="微软雅黑" w:hAnsi="微软雅黑"/>
          <w:b/>
          <w:sz w:val="21"/>
        </w:rPr>
        <w:t>`comparisonColumns`</w:t>
      </w:r>
      <w:r>
        <w:rPr>
          <w:rFonts w:ascii="微软雅黑" w:hAnsi="微软雅黑"/>
          <w:sz w:val="21"/>
        </w:rPr>
        <w:t>: 用于确定主键唯一性的最大值列。</w:t>
      </w:r>
    </w:p>
    <w:p>
      <w:pPr>
        <w:pStyle w:val="ListBullet"/>
        <w:spacing w:line="360" w:lineRule="auto" w:after="120"/>
      </w:pPr>
      <w:r>
        <w:rPr>
          <w:rFonts w:ascii="微软雅黑" w:hAnsi="微软雅黑"/>
          <w:b/>
          <w:sz w:val="21"/>
        </w:rPr>
        <w:t>`changeModeColumn`</w:t>
      </w:r>
      <w:r>
        <w:rPr>
          <w:rFonts w:ascii="微软雅黑" w:hAnsi="微软雅黑"/>
          <w:sz w:val="21"/>
        </w:rPr>
        <w:t>: （非必填）如果指定，具有值</w:t>
      </w:r>
      <w:r>
        <w:rPr>
          <w:rFonts w:ascii="Consolas" w:hAnsi="Consolas"/>
          <w:color w:val="B43C3C"/>
          <w:sz w:val="18"/>
        </w:rPr>
        <w:t>D</w:t>
      </w:r>
      <w:r>
        <w:rPr>
          <w:rFonts w:ascii="微软雅黑" w:hAnsi="微软雅黑"/>
          <w:sz w:val="21"/>
        </w:rPr>
        <w:t>的行将在此列中被删除。</w:t>
      </w:r>
    </w:p>
    <w:p>
      <w:pPr>
        <w:spacing w:line="360" w:lineRule="auto" w:after="120"/>
      </w:pPr>
      <w:r>
        <w:rPr>
          <w:rFonts w:ascii="微软雅黑" w:hAnsi="微软雅黑"/>
          <w:sz w:val="21"/>
        </w:rPr>
        <w:t xml:space="preserve">#### </w:t>
      </w:r>
      <w:r>
        <w:rPr>
          <w:rFonts w:ascii="Consolas" w:hAnsi="Consolas"/>
          <w:color w:val="B43C3C"/>
          <w:sz w:val="18"/>
        </w:rPr>
        <w:t>deploymentSemanticVersion</w:t>
      </w:r>
    </w:p>
    <w:p>
      <w:pPr>
        <w:spacing w:line="360" w:lineRule="auto" w:after="120"/>
      </w:pPr>
      <w:r>
        <w:rPr>
          <w:rFonts w:ascii="微软雅黑" w:hAnsi="微软雅黑"/>
          <w:sz w:val="21"/>
        </w:rPr>
        <w:t>（非必填，默认：0）管道的语义版本；递增它将强制创建快照。</w:t>
      </w:r>
    </w:p>
    <w:p>
      <w:pPr>
        <w:spacing w:line="360" w:lineRule="auto" w:after="120"/>
      </w:pPr>
      <w:r>
        <w:rPr>
          <w:rFonts w:ascii="微软雅黑" w:hAnsi="微软雅黑"/>
          <w:sz w:val="21"/>
        </w:rPr>
        <w:t>参见</w:t>
      </w:r>
      <w:r>
        <w:rPr>
          <w:rFonts w:ascii="微软雅黑" w:hAnsi="微软雅黑"/>
          <w:color w:val="0066CC"/>
          <w:sz w:val="21"/>
          <w:u w:val="single"/>
        </w:rPr>
        <w:t>增量变换</w:t>
      </w:r>
      <w:r>
        <w:rPr>
          <w:rFonts w:ascii="微软雅黑" w:hAnsi="微软雅黑"/>
          <w:sz w:val="21"/>
        </w:rPr>
        <w:t>以了解</w:t>
      </w:r>
      <w:r>
        <w:rPr>
          <w:rFonts w:ascii="Consolas" w:hAnsi="Consolas"/>
          <w:color w:val="B43C3C"/>
          <w:sz w:val="18"/>
        </w:rPr>
        <w:t>deploymentSemanticVersion</w:t>
      </w:r>
      <w:r>
        <w:rPr>
          <w:rFonts w:ascii="微软雅黑" w:hAnsi="微软雅黑"/>
          <w:sz w:val="21"/>
        </w:rPr>
        <w:t>对增量和快照变换的影响。</w:t>
      </w:r>
    </w:p>
    <w:p>
      <w:pPr>
        <w:spacing w:line="360" w:lineRule="auto" w:after="120"/>
      </w:pPr>
      <w:r>
        <w:rPr>
          <w:rFonts w:ascii="微软雅黑" w:hAnsi="微软雅黑"/>
          <w:sz w:val="21"/>
        </w:rPr>
        <w:t xml:space="preserve">#### </w:t>
      </w:r>
      <w:r>
        <w:rPr>
          <w:rFonts w:ascii="Consolas" w:hAnsi="Consolas"/>
          <w:color w:val="B43C3C"/>
          <w:sz w:val="18"/>
        </w:rPr>
        <w:t>metadataSparkProfiles</w:t>
      </w:r>
    </w:p>
    <w:p>
      <w:pPr>
        <w:spacing w:line="360" w:lineRule="auto" w:after="120"/>
      </w:pPr>
      <w:r>
        <w:rPr>
          <w:rFonts w:ascii="微软雅黑" w:hAnsi="微软雅黑"/>
          <w:sz w:val="21"/>
        </w:rPr>
        <w:t>（非必填，默认：无）用于应用于元数据数据集生成（</w:t>
      </w:r>
      <w:r>
        <w:rPr>
          <w:rFonts w:ascii="Consolas" w:hAnsi="Consolas"/>
          <w:color w:val="B43C3C"/>
          <w:sz w:val="18"/>
        </w:rPr>
        <w:t>objects</w:t>
      </w:r>
      <w:r>
        <w:rPr>
          <w:rFonts w:ascii="微软雅黑" w:hAnsi="微软雅黑"/>
          <w:sz w:val="21"/>
        </w:rPr>
        <w:t>、</w:t>
      </w:r>
      <w:r>
        <w:rPr>
          <w:rFonts w:ascii="Consolas" w:hAnsi="Consolas"/>
          <w:color w:val="B43C3C"/>
          <w:sz w:val="18"/>
        </w:rPr>
        <w:t>fields</w:t>
      </w:r>
      <w:r>
        <w:rPr>
          <w:rFonts w:ascii="微软雅黑" w:hAnsi="微软雅黑"/>
          <w:sz w:val="21"/>
        </w:rPr>
        <w:t>、</w:t>
      </w:r>
      <w:r>
        <w:rPr>
          <w:rFonts w:ascii="Consolas" w:hAnsi="Consolas"/>
          <w:color w:val="B43C3C"/>
          <w:sz w:val="18"/>
        </w:rPr>
        <w:t>links</w:t>
      </w:r>
      <w:r>
        <w:rPr>
          <w:rFonts w:ascii="微软雅黑" w:hAnsi="微软雅黑"/>
          <w:sz w:val="21"/>
        </w:rPr>
        <w:t>和</w:t>
      </w:r>
      <w:r>
        <w:rPr>
          <w:rFonts w:ascii="Consolas" w:hAnsi="Consolas"/>
          <w:color w:val="B43C3C"/>
          <w:sz w:val="18"/>
        </w:rPr>
        <w:t>diffs</w:t>
      </w:r>
      <w:r>
        <w:rPr>
          <w:rFonts w:ascii="微软雅黑" w:hAnsi="微软雅黑"/>
          <w:sz w:val="21"/>
        </w:rPr>
        <w:t>）的Spark配置文件列表。</w:t>
      </w:r>
    </w:p>
    <w:p>
      <w:pPr>
        <w:spacing w:line="360" w:lineRule="auto" w:after="120"/>
      </w:pPr>
      <w:r>
        <w:rPr>
          <w:rFonts w:ascii="微软雅黑" w:hAnsi="微软雅黑"/>
          <w:sz w:val="21"/>
        </w:rPr>
        <w:t>确保在此之前</w:t>
      </w:r>
      <w:r>
        <w:rPr>
          <w:rFonts w:ascii="微软雅黑" w:hAnsi="微软雅黑"/>
          <w:color w:val="0066CC"/>
          <w:sz w:val="21"/>
          <w:u w:val="single"/>
        </w:rPr>
        <w:t>将配置文件添加到存储库</w:t>
      </w:r>
      <w:r>
        <w:rPr>
          <w:rFonts w:ascii="微软雅黑" w:hAnsi="微软雅黑"/>
          <w:sz w:val="21"/>
        </w:rPr>
        <w:t>。</w:t>
      </w:r>
    </w:p>
    <w:p>
      <w:pPr>
        <w:spacing w:line="360" w:lineRule="auto" w:after="120"/>
      </w:pPr>
      <w:r>
        <w:rPr>
          <w:rFonts w:ascii="微软雅黑" w:hAnsi="微软雅黑"/>
          <w:sz w:val="21"/>
        </w:rPr>
        <w:t xml:space="preserve">#### </w:t>
      </w:r>
      <w:r>
        <w:rPr>
          <w:rFonts w:ascii="Consolas" w:hAnsi="Consolas"/>
          <w:color w:val="B43C3C"/>
          <w:sz w:val="18"/>
        </w:rPr>
        <w:t>tables</w:t>
      </w:r>
    </w:p>
    <w:p>
      <w:pPr>
        <w:spacing w:line="360" w:lineRule="auto" w:after="120"/>
      </w:pPr>
      <w:r>
        <w:rPr>
          <w:rFonts w:ascii="微软雅黑" w:hAnsi="微软雅黑"/>
          <w:sz w:val="21"/>
        </w:rPr>
        <w:t>定义源中要由SDDI处理的表列表。</w:t>
      </w:r>
    </w:p>
    <w:p>
      <w:pPr>
        <w:spacing w:line="360" w:lineRule="auto" w:after="120"/>
      </w:pPr>
      <w:r>
        <w:rPr>
          <w:rFonts w:ascii="微软雅黑" w:hAnsi="微软雅黑"/>
          <w:sz w:val="21"/>
        </w:rPr>
        <w:t>字段:</w:t>
      </w:r>
    </w:p>
    <w:p>
      <w:pPr>
        <w:pStyle w:val="ListBullet"/>
        <w:spacing w:line="360" w:lineRule="auto" w:after="120"/>
      </w:pPr>
      <w:r>
        <w:rPr>
          <w:rFonts w:ascii="微软雅黑" w:hAnsi="微软雅黑"/>
          <w:b/>
          <w:sz w:val="21"/>
        </w:rPr>
        <w:t>`tableName`</w:t>
      </w:r>
      <w:r>
        <w:rPr>
          <w:rFonts w:ascii="微软雅黑" w:hAnsi="微软雅黑"/>
          <w:sz w:val="21"/>
        </w:rPr>
        <w:t>: 元数据中的表名。</w:t>
      </w:r>
    </w:p>
    <w:p>
      <w:pPr>
        <w:pStyle w:val="ListBullet"/>
        <w:spacing w:line="360" w:lineRule="auto" w:after="120"/>
      </w:pPr>
      <w:r>
        <w:rPr>
          <w:rFonts w:ascii="微软雅黑" w:hAnsi="微软雅黑"/>
          <w:b/>
          <w:sz w:val="21"/>
        </w:rPr>
        <w:t>`datasetTransformsConfig`</w:t>
      </w:r>
    </w:p>
    <w:p>
      <w:pPr>
        <w:pStyle w:val="ListBullet"/>
        <w:spacing w:line="360" w:lineRule="auto" w:after="120"/>
      </w:pPr>
      <w:r>
        <w:rPr>
          <w:rFonts w:ascii="微软雅黑" w:hAnsi="微软雅黑"/>
          <w:b/>
          <w:sz w:val="21"/>
        </w:rPr>
        <w:t>`datasetName`</w:t>
      </w:r>
      <w:r>
        <w:rPr>
          <w:rFonts w:ascii="微软雅黑" w:hAnsi="微软雅黑"/>
          <w:sz w:val="21"/>
        </w:rPr>
        <w:t>: 原始数据的Foundry数据集名称。</w:t>
      </w:r>
    </w:p>
    <w:p>
      <w:pPr>
        <w:pStyle w:val="ListBullet"/>
        <w:spacing w:line="360" w:lineRule="auto" w:after="120"/>
      </w:pPr>
      <w:r>
        <w:rPr>
          <w:rFonts w:ascii="微软雅黑" w:hAnsi="微软雅黑"/>
          <w:b/>
          <w:sz w:val="21"/>
        </w:rPr>
        <w:t>`deduplicationComparisonColumns`</w:t>
      </w:r>
      <w:r>
        <w:rPr>
          <w:rFonts w:ascii="微软雅黑" w:hAnsi="微软雅黑"/>
          <w:sz w:val="21"/>
        </w:rPr>
        <w:t>: 表特定的配置，用于去重数据并指定用于去重逻辑的列。应用于全局去重字段之后。</w:t>
      </w:r>
    </w:p>
    <w:p>
      <w:pPr>
        <w:pStyle w:val="ListBullet"/>
        <w:spacing w:line="360" w:lineRule="auto" w:after="120"/>
      </w:pPr>
      <w:r>
        <w:rPr>
          <w:rFonts w:ascii="微软雅黑" w:hAnsi="微软雅黑"/>
          <w:b/>
          <w:sz w:val="21"/>
        </w:rPr>
        <w:t>`changeModeColumn`</w:t>
      </w:r>
      <w:r>
        <w:rPr>
          <w:rFonts w:ascii="微软雅黑" w:hAnsi="微软雅黑"/>
          <w:sz w:val="21"/>
        </w:rPr>
        <w:t>: （非必填）如果指定，具有值</w:t>
      </w:r>
      <w:r>
        <w:rPr>
          <w:rFonts w:ascii="Consolas" w:hAnsi="Consolas"/>
          <w:color w:val="B43C3C"/>
          <w:sz w:val="18"/>
        </w:rPr>
        <w:t>D</w:t>
      </w:r>
      <w:r>
        <w:rPr>
          <w:rFonts w:ascii="微软雅黑" w:hAnsi="微软雅黑"/>
          <w:sz w:val="21"/>
        </w:rPr>
        <w:t>的行将在此列中被删除。应用于全局更改模式列。</w:t>
      </w:r>
    </w:p>
    <w:p>
      <w:pPr>
        <w:pStyle w:val="ListBullet"/>
        <w:spacing w:line="360" w:lineRule="auto" w:after="120"/>
      </w:pPr>
      <w:r>
        <w:rPr>
          <w:rFonts w:ascii="微软雅黑" w:hAnsi="微软雅黑"/>
          <w:b/>
          <w:sz w:val="21"/>
        </w:rPr>
        <w:t>`batchUnionComponents`</w:t>
      </w:r>
      <w:r>
        <w:rPr>
          <w:rFonts w:ascii="微软雅黑" w:hAnsi="微软雅黑"/>
          <w:sz w:val="21"/>
        </w:rPr>
        <w:t>: 应在清理步骤之前合并的输入数据集名称列表。</w:t>
      </w:r>
    </w:p>
    <w:p>
      <w:pPr>
        <w:pStyle w:val="ListBullet"/>
        <w:spacing w:line="360" w:lineRule="auto" w:after="120"/>
      </w:pPr>
      <w:r>
        <w:rPr>
          <w:rFonts w:ascii="微软雅黑" w:hAnsi="微软雅黑"/>
          <w:b/>
          <w:sz w:val="21"/>
        </w:rPr>
        <w:t>`sparkProfiles`</w:t>
      </w:r>
      <w:r>
        <w:rPr>
          <w:rFonts w:ascii="微软雅黑" w:hAnsi="微软雅黑"/>
          <w:sz w:val="21"/>
        </w:rPr>
        <w:t>: （非必填）在不同变换阶段应用的Spark配置文件。</w:t>
      </w:r>
    </w:p>
    <w:p>
      <w:pPr>
        <w:pStyle w:val="ListBullet"/>
        <w:spacing w:line="360" w:lineRule="auto" w:after="120"/>
      </w:pPr>
      <w:r>
        <w:rPr>
          <w:rFonts w:ascii="微软雅黑" w:hAnsi="微软雅黑"/>
          <w:b/>
          <w:sz w:val="21"/>
        </w:rPr>
        <w:t>`profiles`</w:t>
      </w:r>
      <w:r>
        <w:rPr>
          <w:rFonts w:ascii="微软雅黑" w:hAnsi="微软雅黑"/>
          <w:sz w:val="21"/>
        </w:rPr>
        <w:t>: Spark配置文件；参见</w:t>
      </w:r>
      <w:r>
        <w:rPr>
          <w:rFonts w:ascii="微软雅黑" w:hAnsi="微软雅黑"/>
          <w:color w:val="0066CC"/>
          <w:sz w:val="21"/>
          <w:u w:val="single"/>
        </w:rPr>
        <w:t>将其添加到存储库的详细信息</w:t>
      </w:r>
      <w:r>
        <w:rPr>
          <w:rFonts w:ascii="微软雅黑" w:hAnsi="微软雅黑"/>
          <w:sz w:val="21"/>
        </w:rPr>
        <w:t>。</w:t>
      </w:r>
    </w:p>
    <w:p>
      <w:pPr>
        <w:pStyle w:val="ListBullet"/>
        <w:spacing w:line="360" w:lineRule="auto" w:after="120"/>
      </w:pPr>
      <w:r>
        <w:rPr>
          <w:rFonts w:ascii="微软雅黑" w:hAnsi="微软雅黑"/>
          <w:b/>
          <w:sz w:val="21"/>
        </w:rPr>
        <w:t>`stages`</w:t>
      </w:r>
      <w:r>
        <w:rPr>
          <w:rFonts w:ascii="微软雅黑" w:hAnsi="微软雅黑"/>
          <w:sz w:val="21"/>
        </w:rPr>
        <w:t>: （非必填，默认：无）配置文件应用于的变换阶段。值应为</w:t>
      </w:r>
      <w:r>
        <w:rPr>
          <w:rFonts w:ascii="微软雅黑" w:hAnsi="微软雅黑"/>
          <w:sz w:val="21"/>
        </w:rPr>
        <w:t>\[</w:t>
      </w:r>
      <w:r>
        <w:rPr>
          <w:rFonts w:ascii="微软雅黑" w:hAnsi="微软雅黑"/>
          <w:sz w:val="21"/>
        </w:rPr>
        <w:t>CLEANED, DERIVED, ENRICHED, FINAL, RENAMED, RENAMED\_CHANGELOG]。如果为无，配置文件将应用于所有阶段。</w:t>
      </w:r>
    </w:p>
    <w:p>
      <w:pPr>
        <w:pStyle w:val="ListBullet"/>
        <w:spacing w:line="360" w:lineRule="auto" w:after="120"/>
      </w:pPr>
      <w:r>
        <w:rPr>
          <w:rFonts w:ascii="微软雅黑" w:hAnsi="微软雅黑"/>
          <w:b/>
          <w:sz w:val="21"/>
        </w:rPr>
        <w:t>`tableCleaningLibraries`</w:t>
      </w:r>
      <w:r>
        <w:rPr>
          <w:rFonts w:ascii="微软雅黑" w:hAnsi="微软雅黑"/>
          <w:sz w:val="21"/>
        </w:rPr>
        <w:t>: 应用于此表的清理库列表。清理函数在</w:t>
      </w:r>
      <w:r>
        <w:rPr>
          <w:rFonts w:ascii="Consolas" w:hAnsi="Consolas"/>
          <w:color w:val="B43C3C"/>
          <w:sz w:val="18"/>
        </w:rPr>
        <w:t>transforms-bellhop/src/software_defined_integrations/transforms/cleaned/function_libraries</w:t>
      </w:r>
      <w:r>
        <w:rPr>
          <w:rFonts w:ascii="微软雅黑" w:hAnsi="微软雅黑"/>
          <w:sz w:val="21"/>
        </w:rPr>
        <w:t>中定义。添加或删除函数将需要增加</w:t>
      </w:r>
      <w:r>
        <w:rPr>
          <w:rFonts w:ascii="微软雅黑" w:hAnsi="微软雅黑"/>
          <w:color w:val="0066CC"/>
          <w:sz w:val="21"/>
          <w:u w:val="single"/>
        </w:rPr>
        <w:t>`deploymentSemanticVersion`</w:t>
      </w:r>
      <w:r>
        <w:rPr>
          <w:rFonts w:ascii="微软雅黑" w:hAnsi="微软雅黑"/>
          <w:sz w:val="21"/>
        </w:rPr>
        <w:t>。</w:t>
      </w:r>
    </w:p>
    <w:p>
      <w:pPr>
        <w:pStyle w:val="ListBullet"/>
        <w:spacing w:line="360" w:lineRule="auto" w:after="120"/>
      </w:pPr>
      <w:r>
        <w:rPr>
          <w:rFonts w:ascii="微软雅黑" w:hAnsi="微软雅黑"/>
          <w:b/>
          <w:sz w:val="21"/>
        </w:rPr>
        <w:t>`enforceUniquePrimaryKeys`</w:t>
      </w:r>
      <w:r>
        <w:rPr>
          <w:rFonts w:ascii="微软雅黑" w:hAnsi="微软雅黑"/>
          <w:sz w:val="21"/>
        </w:rPr>
        <w:t>: （非必填，默认：false）。如果为true并定义了</w:t>
      </w:r>
      <w:r>
        <w:rPr>
          <w:rFonts w:ascii="Consolas" w:hAnsi="Consolas"/>
          <w:color w:val="B43C3C"/>
          <w:sz w:val="18"/>
        </w:rPr>
        <w:t>deduplicationComparisonColumns</w:t>
      </w:r>
      <w:r>
        <w:rPr>
          <w:rFonts w:ascii="微软雅黑" w:hAnsi="微软雅黑"/>
          <w:sz w:val="21"/>
        </w:rPr>
        <w:t>，则保证在去重阶段每个主键只保留一个记录。这可能导致非确定性行为。</w:t>
      </w:r>
    </w:p>
    <w:p>
      <w:pPr>
        <w:pStyle w:val="Heading2"/>
      </w:pPr>
      <w:r>
        <w:rPr>
          <w:rFonts w:ascii="微软雅黑" w:hAnsi="微软雅黑"/>
        </w:rPr>
        <w:t>PipelineConfig.yaml</w:t>
      </w:r>
    </w:p>
    <w:p>
      <w:pPr>
        <w:spacing w:line="360" w:lineRule="auto" w:after="120"/>
      </w:pPr>
      <w:r>
        <w:rPr>
          <w:rFonts w:ascii="微软雅黑" w:hAnsi="微软雅黑"/>
          <w:sz w:val="21"/>
        </w:rPr>
        <w:t>一个完整定义的PipelineConfig文件示例。</w:t>
      </w:r>
    </w:p>
    <w:p>
      <w:pPr>
        <w:spacing w:before="80" w:after="80"/>
        <w:ind w:left="567"/>
      </w:pPr>
      <w:r>
        <w:rPr>
          <w:rFonts w:ascii="Consolas" w:hAnsi="Consolas"/>
          <w:color w:val="505050"/>
          <w:sz w:val="18"/>
        </w:rPr>
        <w:t>sourceName: HyperAuto</w:t>
        <w:br/>
        <w:t>sourceType: SAP_ERP</w:t>
        <w:br/>
        <w:t>sourceConfigFileNames:</w:t>
        <w:br/>
        <w:t xml:space="preserve">  - SourceConfig.yaml  # 配置文件名称列表</w:t>
        <w:br/>
        <w:t>outputFolder: /HyperAuto/source/output  # 输出文件夹路径</w:t>
        <w:br/>
        <w:t>workflows:</w:t>
        <w:br/>
        <w:t xml:space="preserve">  my_workflow:  # 工作流定义</w:t>
        <w:br/>
        <w:t xml:space="preserve">    variables:  # 工作流变量</w:t>
        <w:br/>
        <w:t xml:space="preserve">      - name: my_variable_name</w:t>
        <w:br/>
        <w:t xml:space="preserve">        value: my_variable_value</w:t>
        <w:br/>
        <w:t xml:space="preserve">    enrichments:  # 丰富操作列表</w:t>
        <w:br/>
        <w:t xml:space="preserve">      - my_enrichment_name</w:t>
        <w:br/>
        <w:t>tables:</w:t>
        <w:br/>
        <w:t xml:space="preserve">  ABCD:  # 表定义</w:t>
        <w:br/>
        <w:t xml:space="preserve">    displayName: Header Table  # 显示名称</w:t>
        <w:br/>
        <w:t xml:space="preserve">    types:</w:t>
        <w:br/>
        <w:t xml:space="preserve">      - OBJECT  # 表类型</w:t>
        <w:br/>
        <w:t xml:space="preserve">  WXYZ:</w:t>
        <w:br/>
        <w:t xml:space="preserve">    displayName: Item Table</w:t>
        <w:br/>
        <w:t xml:space="preserve">    types:</w:t>
        <w:br/>
        <w:t xml:space="preserve">      - OBJECT</w:t>
        <w:br/>
        <w:t xml:space="preserve">      - METADATA  # 元数据类型</w:t>
        <w:br/>
        <w:t>disableForeignKeyGeneration: False  # 是否禁用外键生成</w:t>
        <w:br/>
        <w:t>disableEnrichedStage: False  # 是否禁用丰富阶段</w:t>
        <w:br/>
        <w:t>disableRenamedStage: False  # 是否禁用重命名阶段</w:t>
      </w:r>
    </w:p>
    <w:p>
      <w:pPr>
        <w:spacing w:line="360" w:lineRule="auto" w:after="120"/>
      </w:pPr>
      <w:r>
        <w:rPr>
          <w:rFonts w:ascii="微软雅黑" w:hAnsi="微软雅黑"/>
          <w:sz w:val="21"/>
        </w:rPr>
        <w:t>此配置文件用于定义数据源配置及处理流程，主要涉及表格定义、工作流变量、以及是否禁用特定阶段的选项。</w:t>
      </w:r>
    </w:p>
    <w:p>
      <w:pPr>
        <w:pStyle w:val="Heading3"/>
      </w:pPr>
      <w:r>
        <w:rPr>
          <w:rFonts w:ascii="微软雅黑" w:hAnsi="微软雅黑"/>
        </w:rPr>
        <w:t>参数描述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参数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`projectName`</w:t>
            </w:r>
          </w:p>
        </w:tc>
        <w:tc>
          <w:tcPr>
            <w:tcW w:type="dxa" w:w="4451"/>
          </w:tcPr>
          <w:p>
            <w:pPr>
              <w:spacing w:after="40" w:before="40"/>
            </w:pPr>
            <w:r>
              <w:rPr>
                <w:rFonts w:ascii="微软雅黑" w:hAnsi="微软雅黑"/>
                <w:sz w:val="20"/>
              </w:rPr>
              <w:t>项目名称。用作Ontology对象的前缀。</w:t>
            </w:r>
          </w:p>
        </w:tc>
      </w:tr>
      <w:tr>
        <w:tc>
          <w:tcPr>
            <w:tcW w:type="dxa" w:w="4451"/>
          </w:tcPr>
          <w:p>
            <w:pPr>
              <w:spacing w:after="40" w:before="40"/>
            </w:pPr>
            <w:r>
              <w:rPr>
                <w:rFonts w:ascii="微软雅黑" w:hAnsi="微软雅黑"/>
                <w:sz w:val="20"/>
              </w:rPr>
              <w:t>`sourceType`</w:t>
            </w:r>
          </w:p>
        </w:tc>
        <w:tc>
          <w:tcPr>
            <w:tcW w:type="dxa" w:w="4451"/>
          </w:tcPr>
          <w:p>
            <w:pPr>
              <w:spacing w:after="40" w:before="40"/>
            </w:pPr>
            <w:r>
              <w:rPr>
                <w:rFonts w:ascii="微软雅黑" w:hAnsi="微软雅黑"/>
                <w:sz w:val="20"/>
              </w:rPr>
              <w:t>SDDI支持的源类型。应为\[SAP\_ERP, SALESFORCE, ORACLE\_NETSUITE]之一。</w:t>
            </w:r>
          </w:p>
        </w:tc>
      </w:tr>
      <w:tr>
        <w:tc>
          <w:tcPr>
            <w:tcW w:type="dxa" w:w="4451"/>
          </w:tcPr>
          <w:p>
            <w:pPr>
              <w:spacing w:after="40" w:before="40"/>
            </w:pPr>
            <w:r>
              <w:rPr>
                <w:rFonts w:ascii="微软雅黑" w:hAnsi="微软雅黑"/>
                <w:sz w:val="20"/>
              </w:rPr>
              <w:t>`sourceConfigFileNames`</w:t>
            </w:r>
          </w:p>
        </w:tc>
        <w:tc>
          <w:tcPr>
            <w:tcW w:type="dxa" w:w="4451"/>
          </w:tcPr>
          <w:p>
            <w:pPr>
              <w:spacing w:after="40" w:before="40"/>
            </w:pPr>
            <w:r>
              <w:rPr>
                <w:rFonts w:ascii="微软雅黑" w:hAnsi="微软雅黑"/>
                <w:sz w:val="20"/>
              </w:rPr>
              <w:t>要在管道中包含的SourceConfig文件名列表。</w:t>
            </w:r>
          </w:p>
        </w:tc>
      </w:tr>
      <w:tr>
        <w:tc>
          <w:tcPr>
            <w:tcW w:type="dxa" w:w="4451"/>
          </w:tcPr>
          <w:p>
            <w:pPr>
              <w:spacing w:after="40" w:before="40"/>
            </w:pPr>
            <w:r>
              <w:rPr>
                <w:rFonts w:ascii="微软雅黑" w:hAnsi="微软雅黑"/>
                <w:sz w:val="20"/>
              </w:rPr>
              <w:t>`outputFolder`</w:t>
            </w:r>
          </w:p>
        </w:tc>
        <w:tc>
          <w:tcPr>
            <w:tcW w:type="dxa" w:w="4451"/>
          </w:tcPr>
          <w:p>
            <w:pPr>
              <w:spacing w:after="40" w:before="40"/>
            </w:pPr>
            <w:r>
              <w:rPr>
                <w:rFonts w:ascii="微软雅黑" w:hAnsi="微软雅黑"/>
                <w:sz w:val="20"/>
              </w:rPr>
              <w:t>定义将输出数据集写入的文件夹。</w:t>
            </w:r>
          </w:p>
        </w:tc>
      </w:tr>
      <w:tr>
        <w:tc>
          <w:tcPr>
            <w:tcW w:type="dxa" w:w="4451"/>
          </w:tcPr>
          <w:p>
            <w:pPr>
              <w:spacing w:after="40" w:before="40"/>
            </w:pPr>
            <w:r>
              <w:rPr>
                <w:rFonts w:ascii="微软雅黑" w:hAnsi="微软雅黑"/>
                <w:sz w:val="20"/>
              </w:rPr>
              <w:t>`workflows`</w:t>
            </w:r>
          </w:p>
        </w:tc>
        <w:tc>
          <w:tcPr>
            <w:tcW w:type="dxa" w:w="4451"/>
          </w:tcPr>
          <w:p>
            <w:pPr>
              <w:spacing w:after="40" w:before="40"/>
            </w:pPr>
            <w:r>
              <w:rPr>
                <w:rFonts w:ascii="微软雅黑" w:hAnsi="微软雅黑"/>
                <w:sz w:val="20"/>
              </w:rPr>
              <w:t>部署的工作流列表，包含配置。</w:t>
            </w:r>
          </w:p>
        </w:tc>
      </w:tr>
      <w:tr>
        <w:tc>
          <w:tcPr>
            <w:tcW w:type="dxa" w:w="4451"/>
          </w:tcPr>
          <w:p>
            <w:pPr>
              <w:spacing w:after="40" w:before="40"/>
            </w:pPr>
            <w:r>
              <w:rPr>
                <w:rFonts w:ascii="微软雅黑" w:hAnsi="微软雅黑"/>
                <w:sz w:val="20"/>
              </w:rPr>
              <w:t>[`tables`](#tables)</w:t>
            </w:r>
          </w:p>
        </w:tc>
        <w:tc>
          <w:tcPr>
            <w:tcW w:type="dxa" w:w="4451"/>
          </w:tcPr>
          <w:p>
            <w:pPr>
              <w:spacing w:after="40" w:before="40"/>
            </w:pPr>
            <w:r>
              <w:rPr>
                <w:rFonts w:ascii="微软雅黑" w:hAnsi="微软雅黑"/>
                <w:sz w:val="20"/>
              </w:rPr>
              <w:t>在此SDDI管道中处理的表列表。</w:t>
            </w:r>
          </w:p>
        </w:tc>
      </w:tr>
      <w:tr>
        <w:tc>
          <w:tcPr>
            <w:tcW w:type="dxa" w:w="4451"/>
          </w:tcPr>
          <w:p>
            <w:pPr>
              <w:spacing w:after="40" w:before="40"/>
            </w:pPr>
            <w:r>
              <w:rPr>
                <w:rFonts w:ascii="微软雅黑" w:hAnsi="微软雅黑"/>
                <w:sz w:val="20"/>
              </w:rPr>
              <w:t>`disableEnrichedStage`</w:t>
            </w:r>
          </w:p>
        </w:tc>
        <w:tc>
          <w:tcPr>
            <w:tcW w:type="dxa" w:w="4451"/>
          </w:tcPr>
          <w:p>
            <w:pPr>
              <w:spacing w:after="40" w:before="40"/>
            </w:pPr>
            <w:r>
              <w:rPr>
                <w:rFonts w:ascii="微软雅黑" w:hAnsi="微软雅黑"/>
                <w:sz w:val="20"/>
              </w:rPr>
              <w:t>(非必填，默认: false) 如果启用，将不会生成富数据集。请谨慎使用，因为启用将导致工作流失败。</w:t>
            </w:r>
          </w:p>
        </w:tc>
      </w:tr>
      <w:tr>
        <w:tc>
          <w:tcPr>
            <w:tcW w:type="dxa" w:w="4451"/>
          </w:tcPr>
          <w:p>
            <w:pPr>
              <w:spacing w:after="40" w:before="40"/>
            </w:pPr>
            <w:r>
              <w:rPr>
                <w:rFonts w:ascii="微软雅黑" w:hAnsi="微软雅黑"/>
                <w:sz w:val="20"/>
              </w:rPr>
              <w:t>`disableRenamedStage`</w:t>
            </w:r>
          </w:p>
        </w:tc>
        <w:tc>
          <w:tcPr>
            <w:tcW w:type="dxa" w:w="4451"/>
          </w:tcPr>
          <w:p>
            <w:pPr>
              <w:spacing w:after="40" w:before="40"/>
            </w:pPr>
            <w:r>
              <w:rPr>
                <w:rFonts w:ascii="微软雅黑" w:hAnsi="微软雅黑"/>
                <w:sz w:val="20"/>
              </w:rPr>
              <w:t>(非必填，默认: false) 如果启用，将不会生成renamed\_changelog数据集。请谨慎使用，因为启用将导致工作流失败。</w:t>
            </w:r>
          </w:p>
        </w:tc>
      </w:tr>
      <w:tr>
        <w:tc>
          <w:tcPr>
            <w:tcW w:type="dxa" w:w="4451"/>
          </w:tcPr>
          <w:p>
            <w:pPr>
              <w:spacing w:after="40" w:before="40"/>
            </w:pPr>
            <w:r>
              <w:rPr>
                <w:rFonts w:ascii="微软雅黑" w:hAnsi="微软雅黑"/>
                <w:sz w:val="20"/>
              </w:rPr>
              <w:t>`disableForeignKeyGeneration`</w:t>
            </w:r>
          </w:p>
        </w:tc>
        <w:tc>
          <w:tcPr>
            <w:tcW w:type="dxa" w:w="4451"/>
          </w:tcPr>
          <w:p>
            <w:pPr>
              <w:spacing w:after="40" w:before="40"/>
            </w:pPr>
            <w:r>
              <w:rPr>
                <w:rFonts w:ascii="微软雅黑" w:hAnsi="微软雅黑"/>
                <w:sz w:val="20"/>
              </w:rPr>
              <w:t>如果启用，将不会生成外键列。请谨慎使用，因为启用将导致工作流失败。</w:t>
            </w:r>
          </w:p>
        </w:tc>
      </w:tr>
    </w:tbl>
    <w:p/>
    <w:p>
      <w:pPr>
        <w:spacing w:line="360" w:lineRule="auto" w:after="120"/>
      </w:pPr>
      <w:r>
        <w:rPr>
          <w:rFonts w:ascii="微软雅黑" w:hAnsi="微软雅黑"/>
          <w:sz w:val="21"/>
        </w:rPr>
        <w:t xml:space="preserve">#### </w:t>
      </w:r>
      <w:r>
        <w:rPr>
          <w:rFonts w:ascii="Consolas" w:hAnsi="Consolas"/>
          <w:color w:val="B43C3C"/>
          <w:sz w:val="18"/>
        </w:rPr>
        <w:t>tables</w:t>
      </w:r>
    </w:p>
    <w:p>
      <w:pPr>
        <w:spacing w:line="360" w:lineRule="auto" w:after="120"/>
      </w:pPr>
      <w:r>
        <w:rPr>
          <w:rFonts w:ascii="微软雅黑" w:hAnsi="微软雅黑"/>
          <w:sz w:val="21"/>
        </w:rPr>
        <w:t>在此SDDI管道中处理的表列表：</w:t>
      </w:r>
    </w:p>
    <w:p>
      <w:pPr>
        <w:pStyle w:val="ListBullet"/>
        <w:spacing w:line="360" w:lineRule="auto" w:after="120"/>
      </w:pPr>
      <w:r>
        <w:rPr>
          <w:rFonts w:ascii="微软雅黑" w:hAnsi="微软雅黑"/>
          <w:b/>
          <w:sz w:val="21"/>
        </w:rPr>
        <w:t>`displayName`</w:t>
      </w:r>
      <w:r>
        <w:rPr>
          <w:rFonts w:ascii="微软雅黑" w:hAnsi="微软雅黑"/>
          <w:sz w:val="21"/>
        </w:rPr>
        <w:t xml:space="preserve">: 表的可读名称。输出数据集名称将以 </w:t>
      </w:r>
      <w:r>
        <w:rPr>
          <w:rFonts w:ascii="Consolas" w:hAnsi="Consolas"/>
          <w:color w:val="B43C3C"/>
          <w:sz w:val="18"/>
        </w:rPr>
        <w:t>displayName (technicalName)</w:t>
      </w:r>
      <w:r>
        <w:rPr>
          <w:rFonts w:ascii="微软雅黑" w:hAnsi="微软雅黑"/>
          <w:sz w:val="21"/>
        </w:rPr>
        <w:t xml:space="preserve"> 的形式构建。</w:t>
      </w:r>
    </w:p>
    <w:p>
      <w:pPr>
        <w:pStyle w:val="ListBullet"/>
        <w:spacing w:line="360" w:lineRule="auto" w:after="120"/>
      </w:pPr>
      <w:r>
        <w:rPr>
          <w:rFonts w:ascii="微软雅黑" w:hAnsi="微软雅黑"/>
          <w:b/>
          <w:sz w:val="21"/>
        </w:rPr>
        <w:t>`types`</w:t>
      </w:r>
      <w:r>
        <w:rPr>
          <w:rFonts w:ascii="微软雅黑" w:hAnsi="微软雅黑"/>
          <w:sz w:val="21"/>
        </w:rPr>
        <w:t>: 此表表示的数据类型列表（可以有多个）。</w:t>
      </w:r>
    </w:p>
    <w:p>
      <w:pPr>
        <w:pStyle w:val="ListBullet"/>
        <w:spacing w:line="360" w:lineRule="auto" w:after="120"/>
      </w:pPr>
      <w:r>
        <w:rPr>
          <w:rFonts w:ascii="微软雅黑" w:hAnsi="微软雅黑"/>
          <w:b/>
          <w:sz w:val="21"/>
        </w:rPr>
        <w:t>OBJECT</w:t>
      </w:r>
      <w:r>
        <w:rPr>
          <w:rFonts w:ascii="微软雅黑" w:hAnsi="微软雅黑"/>
          <w:sz w:val="21"/>
        </w:rPr>
        <w:t>: 构成Ontology中对象的主数据表。</w:t>
      </w:r>
    </w:p>
    <w:p>
      <w:pPr>
        <w:pStyle w:val="ListBullet"/>
        <w:spacing w:line="360" w:lineRule="auto" w:after="120"/>
      </w:pPr>
      <w:r>
        <w:rPr>
          <w:rFonts w:ascii="微软雅黑" w:hAnsi="微软雅黑"/>
          <w:b/>
          <w:sz w:val="21"/>
        </w:rPr>
        <w:t>METADATA</w:t>
      </w:r>
      <w:r>
        <w:rPr>
          <w:rFonts w:ascii="微软雅黑" w:hAnsi="微软雅黑"/>
          <w:sz w:val="21"/>
        </w:rPr>
        <w:t>: 包含对象信息和构建主键的元数据表。</w:t>
      </w:r>
    </w:p>
    <w:p>
      <w:pPr>
        <w:pStyle w:val="ListBullet"/>
        <w:spacing w:line="360" w:lineRule="auto" w:after="120"/>
      </w:pPr>
      <w:r>
        <w:rPr>
          <w:rFonts w:ascii="微软雅黑" w:hAnsi="微软雅黑"/>
          <w:b/>
          <w:sz w:val="21"/>
        </w:rPr>
        <w:t>CUSTOMIZATION</w:t>
      </w:r>
      <w:r>
        <w:rPr>
          <w:rFonts w:ascii="微软雅黑" w:hAnsi="微软雅黑"/>
          <w:sz w:val="21"/>
        </w:rPr>
        <w:t>: 在SDDI管道的</w:t>
      </w:r>
      <w:r>
        <w:rPr>
          <w:rFonts w:ascii="Consolas" w:hAnsi="Consolas"/>
          <w:color w:val="B43C3C"/>
          <w:sz w:val="18"/>
        </w:rPr>
        <w:t>enriched</w:t>
      </w:r>
      <w:r>
        <w:rPr>
          <w:rFonts w:ascii="微软雅黑" w:hAnsi="微软雅黑"/>
          <w:sz w:val="21"/>
        </w:rPr>
        <w:t>步骤中合并到主数据表的富化表。</w:t>
      </w:r>
    </w:p>
    <w:p>
      <w:r>
        <w:br w:type="page"/>
      </w:r>
    </w:p>
    <w:p>
      <w:pPr>
        <w:pStyle w:val="Heading1"/>
      </w:pPr>
      <w:r>
        <w:rPr>
          <w:rFonts w:ascii="微软雅黑" w:hAnsi="微软雅黑"/>
        </w:rPr>
        <w:t>HyperAuto V1 常见问题</w:t>
      </w:r>
    </w:p>
    <w:p>
      <w:pPr>
        <w:spacing w:line="360" w:lineRule="auto" w:after="120"/>
      </w:pPr>
      <w:r>
        <w:rPr>
          <w:rFonts w:ascii="微软雅黑" w:hAnsi="微软雅黑"/>
          <w:sz w:val="21"/>
        </w:rPr>
        <w:t># HyperAuto V1 常见问题</w:t>
      </w:r>
    </w:p>
    <w:p>
      <w:pPr>
        <w:pStyle w:val="Heading2"/>
      </w:pPr>
      <w:r>
        <w:rPr>
          <w:rFonts w:ascii="微软雅黑" w:hAnsi="微软雅黑"/>
        </w:rPr>
        <w:t>一般使用技巧和指导</w:t>
      </w:r>
    </w:p>
    <w:p>
      <w:pPr>
        <w:pStyle w:val="ListBullet"/>
        <w:spacing w:line="360" w:lineRule="auto" w:after="120"/>
      </w:pPr>
      <w:r>
        <w:rPr>
          <w:rFonts w:ascii="微软雅黑" w:hAnsi="微软雅黑"/>
          <w:color w:val="0066CC"/>
          <w:sz w:val="21"/>
          <w:u w:val="single"/>
        </w:rPr>
        <w:t>我可以在 SDDI 仓库中调试和预览代码吗？</w:t>
      </w:r>
    </w:p>
    <w:p>
      <w:pPr>
        <w:pStyle w:val="ListBullet"/>
        <w:spacing w:line="360" w:lineRule="auto" w:after="120"/>
      </w:pPr>
      <w:r>
        <w:rPr>
          <w:rFonts w:ascii="微软雅黑" w:hAnsi="微软雅黑"/>
          <w:color w:val="0066CC"/>
          <w:sz w:val="21"/>
          <w:u w:val="single"/>
        </w:rPr>
        <w:t>我可以配置一个自动添加新表的计划吗？</w:t>
      </w:r>
    </w:p>
    <w:p>
      <w:pPr>
        <w:pStyle w:val="ListBullet"/>
        <w:spacing w:line="360" w:lineRule="auto" w:after="120"/>
      </w:pPr>
      <w:r>
        <w:rPr>
          <w:rFonts w:ascii="微软雅黑" w:hAnsi="微软雅黑"/>
          <w:color w:val="0066CC"/>
          <w:sz w:val="21"/>
          <w:u w:val="single"/>
        </w:rPr>
        <w:t>我的一个表/派生元素由于 `MODULE_UNREACHABLE` 出错，我该怎么办？</w:t>
      </w:r>
    </w:p>
    <w:p>
      <w:pPr>
        <w:pStyle w:val="ListBullet"/>
        <w:spacing w:line="360" w:lineRule="auto" w:after="120"/>
      </w:pPr>
      <w:r>
        <w:rPr>
          <w:rFonts w:ascii="微软雅黑" w:hAnsi="微软雅黑"/>
          <w:color w:val="0066CC"/>
          <w:sz w:val="21"/>
          <w:u w:val="single"/>
        </w:rPr>
        <w:t>我将表 `&lt;TABLE_NAME&gt;` 添加到我的管道中，但当我尝试搭建我的管道时，出现 `AssertionError: 0 instances of &lt;TABLE_NAME&gt; found in 'objects' metadata table` 出错</w:t>
      </w:r>
    </w:p>
    <w:p>
      <w:pPr>
        <w:pStyle w:val="ListBullet"/>
        <w:spacing w:line="360" w:lineRule="auto" w:after="120"/>
      </w:pPr>
      <w:r>
        <w:rPr>
          <w:rFonts w:ascii="微软雅黑" w:hAnsi="微软雅黑"/>
          <w:color w:val="0066CC"/>
          <w:sz w:val="21"/>
          <w:u w:val="single"/>
        </w:rPr>
        <w:t>如果我在 Bellhop 配置文件中添加新表，是否需要增加语义版本？</w:t>
      </w:r>
    </w:p>
    <w:p>
      <w:pPr>
        <w:pStyle w:val="ListBullet"/>
        <w:spacing w:line="360" w:lineRule="auto" w:after="120"/>
      </w:pPr>
      <w:r>
        <w:rPr>
          <w:rFonts w:ascii="微软雅黑" w:hAnsi="微软雅黑"/>
          <w:color w:val="0066CC"/>
          <w:sz w:val="21"/>
          <w:u w:val="single"/>
        </w:rPr>
        <w:t>我可以禁用 SDDI 仓库生成的一些中间阶段吗？</w:t>
      </w:r>
    </w:p>
    <w:p>
      <w:pPr>
        <w:pStyle w:val="Heading3"/>
      </w:pPr>
      <w:r>
        <w:rPr>
          <w:rFonts w:ascii="微软雅黑" w:hAnsi="微软雅黑"/>
        </w:rPr>
        <w:t>我可以在 SDDI 仓库中调试和预览代码吗？</w:t>
      </w:r>
    </w:p>
    <w:p>
      <w:pPr>
        <w:spacing w:line="360" w:lineRule="auto" w:after="120"/>
      </w:pPr>
      <w:r>
        <w:rPr>
          <w:rFonts w:ascii="微软雅黑" w:hAnsi="微软雅黑"/>
          <w:sz w:val="21"/>
        </w:rPr>
        <w:t xml:space="preserve">可以，您可以在 SDDI 仓库中调试和预览代码。在 SDDI 仓库中，导航到文件 </w:t>
      </w:r>
      <w:r>
        <w:rPr>
          <w:rFonts w:ascii="Consolas" w:hAnsi="Consolas"/>
          <w:color w:val="B43C3C"/>
          <w:sz w:val="18"/>
        </w:rPr>
        <w:t>/transforms-bellhop/src/software_defined_data_integrations/transforms/pipeline_builder.py</w:t>
      </w:r>
      <w:r>
        <w:rPr>
          <w:rFonts w:ascii="微软雅黑" w:hAnsi="微软雅黑"/>
          <w:sz w:val="21"/>
        </w:rPr>
        <w:t xml:space="preserve"> 并从 </w:t>
      </w:r>
      <w:r>
        <w:rPr>
          <w:rFonts w:ascii="微软雅黑" w:hAnsi="微软雅黑"/>
          <w:color w:val="0066CC"/>
          <w:sz w:val="21"/>
          <w:u w:val="single"/>
        </w:rPr>
        <w:t>预览</w:t>
      </w:r>
      <w:r>
        <w:rPr>
          <w:rFonts w:ascii="微软雅黑" w:hAnsi="微软雅黑"/>
          <w:sz w:val="21"/>
        </w:rPr>
        <w:t xml:space="preserve"> 按钮中选择您要预览的变换。</w:t>
      </w:r>
    </w:p>
    <w:p>
      <w:pPr>
        <w:pStyle w:val="Heading3"/>
      </w:pPr>
      <w:r>
        <w:rPr>
          <w:rFonts w:ascii="微软雅黑" w:hAnsi="微软雅黑"/>
        </w:rPr>
        <w:t>我可以配置一个自动添加新表的计划吗？</w:t>
      </w:r>
    </w:p>
    <w:p>
      <w:pPr>
        <w:spacing w:line="360" w:lineRule="auto" w:after="120"/>
      </w:pPr>
      <w:r>
        <w:rPr>
          <w:rFonts w:ascii="微软雅黑" w:hAnsi="微软雅黑"/>
          <w:sz w:val="21"/>
        </w:rPr>
        <w:t xml:space="preserve">一个 SDDI 仓库会生成一个名为 </w:t>
      </w:r>
      <w:r>
        <w:rPr>
          <w:rFonts w:ascii="Consolas" w:hAnsi="Consolas"/>
          <w:color w:val="B43C3C"/>
          <w:sz w:val="18"/>
        </w:rPr>
        <w:t>BUILD</w:t>
      </w:r>
      <w:r>
        <w:rPr>
          <w:rFonts w:ascii="微软雅黑" w:hAnsi="微软雅黑"/>
          <w:sz w:val="21"/>
        </w:rPr>
        <w:t xml:space="preserve"> 的数据集，该数据集连接到仓库生成的所有最终数据集。为了确保所有新引入的表都被搭建，创建一个新的完整搭建计划（包括上游数据集），以这个 </w:t>
      </w:r>
      <w:r>
        <w:rPr>
          <w:rFonts w:ascii="Consolas" w:hAnsi="Consolas"/>
          <w:color w:val="B43C3C"/>
          <w:sz w:val="18"/>
        </w:rPr>
        <w:t>BUILD</w:t>
      </w:r>
      <w:r>
        <w:rPr>
          <w:rFonts w:ascii="微软雅黑" w:hAnsi="微软雅黑"/>
          <w:sz w:val="21"/>
        </w:rPr>
        <w:t xml:space="preserve"> 数据集为目标。智能调度器将仅为原始数据已刷新的管道部分启动搭建。</w:t>
      </w:r>
    </w:p>
    <w:p>
      <w:pPr>
        <w:pStyle w:val="Heading3"/>
      </w:pPr>
      <w:r>
        <w:rPr>
          <w:rFonts w:ascii="微软雅黑" w:hAnsi="微软雅黑"/>
        </w:rPr>
        <w:t>我的一个表/派生元素由于 `MODULE_UNREACHABLE` 出错，我该怎么办？</w:t>
      </w:r>
    </w:p>
    <w:p>
      <w:pPr>
        <w:spacing w:line="360" w:lineRule="auto" w:after="120"/>
      </w:pPr>
      <w:r>
        <w:rPr>
          <w:rFonts w:ascii="Consolas" w:hAnsi="Consolas"/>
          <w:color w:val="B43C3C"/>
          <w:sz w:val="18"/>
        </w:rPr>
        <w:t>MODULE_UNREACHABLE</w:t>
      </w:r>
      <w:r>
        <w:rPr>
          <w:rFonts w:ascii="微软雅黑" w:hAnsi="微软雅黑"/>
          <w:sz w:val="21"/>
        </w:rPr>
        <w:t xml:space="preserve"> 通常表示您的 Spark 环境中的 DRIVER\_MEMORY 不足。您可以在 SourceConfig.yaml 文件中为选定的表应用 Spark 配置文件；详情请参阅</w:t>
      </w:r>
      <w:r>
        <w:rPr>
          <w:rFonts w:ascii="微软雅黑" w:hAnsi="微软雅黑"/>
          <w:color w:val="0066CC"/>
          <w:sz w:val="21"/>
          <w:u w:val="single"/>
        </w:rPr>
        <w:t>配置参考</w:t>
      </w:r>
      <w:r>
        <w:rPr>
          <w:rFonts w:ascii="微软雅黑" w:hAnsi="微软雅黑"/>
          <w:sz w:val="21"/>
        </w:rPr>
        <w:t>。不要忘记首先将</w:t>
      </w:r>
      <w:r>
        <w:rPr>
          <w:rFonts w:ascii="微软雅黑" w:hAnsi="微软雅黑"/>
          <w:color w:val="0066CC"/>
          <w:sz w:val="21"/>
          <w:u w:val="single"/>
        </w:rPr>
        <w:t>指派的配置文件</w:t>
      </w:r>
      <w:r>
        <w:rPr>
          <w:rFonts w:ascii="微软雅黑" w:hAnsi="微软雅黑"/>
          <w:sz w:val="21"/>
        </w:rPr>
        <w:t>导入到您的仓库配置中。</w:t>
      </w:r>
    </w:p>
    <w:p>
      <w:pPr>
        <w:pStyle w:val="Heading3"/>
      </w:pPr>
      <w:r>
        <w:rPr>
          <w:rFonts w:ascii="微软雅黑" w:hAnsi="微软雅黑"/>
        </w:rPr>
        <w:t>我将表 `&lt;TABLE_NAME&gt;` 添加到我的管道中，但当我尝试搭建我的管道时，出现 `AssertionError: 0 instances of &lt;TABLE_NAME&gt; found in 'objects' metadata table` 出错</w:t>
      </w:r>
    </w:p>
    <w:p>
      <w:pPr>
        <w:spacing w:line="360" w:lineRule="auto" w:after="120"/>
      </w:pPr>
      <w:r>
        <w:rPr>
          <w:rFonts w:ascii="微软雅黑" w:hAnsi="微软雅黑"/>
          <w:sz w:val="21"/>
        </w:rPr>
        <w:t xml:space="preserve">确保在新表被引入并添加到您的 SDDI 管道后，重新运行元数据数据集 </w:t>
      </w:r>
      <w:r>
        <w:rPr>
          <w:rFonts w:ascii="Consolas" w:hAnsi="Consolas"/>
          <w:color w:val="B43C3C"/>
          <w:sz w:val="18"/>
        </w:rPr>
        <w:t>objects</w:t>
      </w:r>
      <w:r>
        <w:rPr>
          <w:rFonts w:ascii="微软雅黑" w:hAnsi="微软雅黑"/>
          <w:sz w:val="21"/>
        </w:rPr>
        <w:t>、</w:t>
      </w:r>
      <w:r>
        <w:rPr>
          <w:rFonts w:ascii="Consolas" w:hAnsi="Consolas"/>
          <w:color w:val="B43C3C"/>
          <w:sz w:val="18"/>
        </w:rPr>
        <w:t>links</w:t>
      </w:r>
      <w:r>
        <w:rPr>
          <w:rFonts w:ascii="微软雅黑" w:hAnsi="微软雅黑"/>
          <w:sz w:val="21"/>
        </w:rPr>
        <w:t>、</w:t>
      </w:r>
      <w:r>
        <w:rPr>
          <w:rFonts w:ascii="Consolas" w:hAnsi="Consolas"/>
          <w:color w:val="B43C3C"/>
          <w:sz w:val="18"/>
        </w:rPr>
        <w:t>fields</w:t>
      </w:r>
      <w:r>
        <w:rPr>
          <w:rFonts w:ascii="微软雅黑" w:hAnsi="微软雅黑"/>
          <w:sz w:val="21"/>
        </w:rPr>
        <w:t xml:space="preserve"> 和 </w:t>
      </w:r>
      <w:r>
        <w:rPr>
          <w:rFonts w:ascii="Consolas" w:hAnsi="Consolas"/>
          <w:color w:val="B43C3C"/>
          <w:sz w:val="18"/>
        </w:rPr>
        <w:t>diffs</w:t>
      </w:r>
      <w:r>
        <w:rPr>
          <w:rFonts w:ascii="微软雅黑" w:hAnsi="微软雅黑"/>
          <w:sz w:val="21"/>
        </w:rPr>
        <w:t>。</w:t>
      </w:r>
    </w:p>
    <w:p>
      <w:pPr>
        <w:pStyle w:val="Heading3"/>
      </w:pPr>
      <w:r>
        <w:rPr>
          <w:rFonts w:ascii="微软雅黑" w:hAnsi="微软雅黑"/>
        </w:rPr>
        <w:t>如果我在 Bellhop 配置文件中添加新表，是否需要增加语义版本？</w:t>
      </w:r>
    </w:p>
    <w:p>
      <w:pPr>
        <w:spacing w:line="360" w:lineRule="auto" w:after="120"/>
      </w:pPr>
      <w:r>
        <w:rPr>
          <w:rFonts w:ascii="微软雅黑" w:hAnsi="微软雅黑"/>
          <w:sz w:val="21"/>
        </w:rPr>
        <w:t xml:space="preserve">不，在 Bellhop 配置文件中添加新表后，您不需要增加语义版本。但是，您需要重新搭建元数据数据集 </w:t>
      </w:r>
      <w:r>
        <w:rPr>
          <w:rFonts w:ascii="Consolas" w:hAnsi="Consolas"/>
          <w:color w:val="B43C3C"/>
          <w:sz w:val="18"/>
        </w:rPr>
        <w:t>objects</w:t>
      </w:r>
      <w:r>
        <w:rPr>
          <w:rFonts w:ascii="微软雅黑" w:hAnsi="微软雅黑"/>
          <w:sz w:val="21"/>
        </w:rPr>
        <w:t>、</w:t>
      </w:r>
      <w:r>
        <w:rPr>
          <w:rFonts w:ascii="Consolas" w:hAnsi="Consolas"/>
          <w:color w:val="B43C3C"/>
          <w:sz w:val="18"/>
        </w:rPr>
        <w:t>links</w:t>
      </w:r>
      <w:r>
        <w:rPr>
          <w:rFonts w:ascii="微软雅黑" w:hAnsi="微软雅黑"/>
          <w:sz w:val="21"/>
        </w:rPr>
        <w:t>、</w:t>
      </w:r>
      <w:r>
        <w:rPr>
          <w:rFonts w:ascii="Consolas" w:hAnsi="Consolas"/>
          <w:color w:val="B43C3C"/>
          <w:sz w:val="18"/>
        </w:rPr>
        <w:t>fields</w:t>
      </w:r>
      <w:r>
        <w:rPr>
          <w:rFonts w:ascii="微软雅黑" w:hAnsi="微软雅黑"/>
          <w:sz w:val="21"/>
        </w:rPr>
        <w:t xml:space="preserve"> 和 </w:t>
      </w:r>
      <w:r>
        <w:rPr>
          <w:rFonts w:ascii="Consolas" w:hAnsi="Consolas"/>
          <w:color w:val="B43C3C"/>
          <w:sz w:val="18"/>
        </w:rPr>
        <w:t>diffs</w:t>
      </w:r>
      <w:r>
        <w:rPr>
          <w:rFonts w:ascii="微软雅黑" w:hAnsi="微软雅黑"/>
          <w:sz w:val="21"/>
        </w:rPr>
        <w:t>。</w:t>
      </w:r>
    </w:p>
    <w:p>
      <w:pPr>
        <w:pStyle w:val="Heading3"/>
      </w:pPr>
      <w:r>
        <w:rPr>
          <w:rFonts w:ascii="微软雅黑" w:hAnsi="微软雅黑"/>
        </w:rPr>
        <w:t>我可以禁用 SDDI 仓库生成的一些中间阶段吗？</w:t>
      </w:r>
    </w:p>
    <w:p>
      <w:pPr>
        <w:spacing w:line="360" w:lineRule="auto" w:after="120"/>
      </w:pPr>
      <w:r>
        <w:rPr>
          <w:rFonts w:ascii="微软雅黑" w:hAnsi="微软雅黑"/>
          <w:sz w:val="21"/>
        </w:rPr>
        <w:t xml:space="preserve">可以。可以通过使用 </w:t>
      </w:r>
      <w:r>
        <w:rPr>
          <w:rFonts w:ascii="微软雅黑" w:hAnsi="微软雅黑"/>
          <w:color w:val="0066CC"/>
          <w:sz w:val="21"/>
          <w:u w:val="single"/>
        </w:rPr>
        <w:t>PipelineConfig 文件中的参数</w:t>
      </w:r>
      <w:r>
        <w:rPr>
          <w:rFonts w:ascii="微软雅黑" w:hAnsi="微软雅黑"/>
          <w:sz w:val="21"/>
        </w:rPr>
        <w:t xml:space="preserve"> 来禁用外键生成、丰富阶段和重命名阶段。需要增加 </w:t>
      </w:r>
      <w:r>
        <w:rPr>
          <w:rFonts w:ascii="微软雅黑" w:hAnsi="微软雅黑"/>
          <w:color w:val="0066CC"/>
          <w:sz w:val="21"/>
          <w:u w:val="single"/>
        </w:rPr>
        <w:t>`deploymentSemanticVersion`</w:t>
      </w:r>
      <w:r>
        <w:rPr>
          <w:rFonts w:ascii="微软雅黑" w:hAnsi="微软雅黑"/>
          <w:sz w:val="21"/>
        </w:rPr>
        <w:t xml:space="preserve"> 以使更改生效。</w:t>
      </w:r>
    </w:p>
    <w:p>
      <w:pPr>
        <w:spacing w:line="360" w:lineRule="auto" w:after="120"/>
      </w:pPr>
      <w:r>
        <w:rPr>
          <w:rFonts w:ascii="微软雅黑" w:hAnsi="微软雅黑"/>
          <w:sz w:val="21"/>
        </w:rPr>
        <w:t>禁用任何或所有这些步骤将导致数据架构后果，并可能导致数据的下游使用中断。</w:t>
      </w:r>
    </w:p>
    <w:p>
      <w:r>
        <w:br w:type="page"/>
      </w:r>
    </w:p>
    <w:p>
      <w:pPr>
        <w:pStyle w:val="Heading1"/>
      </w:pPr>
      <w:r>
        <w:rPr>
          <w:rFonts w:ascii="微软雅黑" w:hAnsi="微软雅黑"/>
        </w:rPr>
        <w:t>开始使用 HyperAuto V1</w:t>
      </w:r>
    </w:p>
    <w:p>
      <w:pPr>
        <w:spacing w:line="360" w:lineRule="auto" w:after="120"/>
      </w:pPr>
      <w:r>
        <w:rPr>
          <w:rFonts w:ascii="微软雅黑" w:hAnsi="微软雅黑"/>
          <w:sz w:val="21"/>
        </w:rPr>
        <w:t># 开始使用 HyperAuto V1</w:t>
      </w:r>
    </w:p>
    <w:p>
      <w:pPr>
        <w:spacing w:line="360" w:lineRule="auto" w:after="120"/>
      </w:pPr>
      <w:r>
        <w:rPr>
          <w:rFonts w:ascii="微软雅黑" w:hAnsi="微软雅黑"/>
          <w:sz w:val="21"/>
        </w:rPr>
        <w:t>本文档适用于 HyperAuto V1。如果您使用的是 HyperAuto V2，请参阅</w:t>
      </w:r>
      <w:r>
        <w:rPr>
          <w:rFonts w:ascii="微软雅黑" w:hAnsi="微软雅黑"/>
          <w:color w:val="0066CC"/>
          <w:sz w:val="21"/>
          <w:u w:val="single"/>
        </w:rPr>
        <w:t>HyperAuto V2 入门文档</w:t>
      </w:r>
      <w:r>
        <w:rPr>
          <w:rFonts w:ascii="微软雅黑" w:hAnsi="微软雅黑"/>
          <w:sz w:val="21"/>
        </w:rPr>
        <w:t>。</w:t>
      </w:r>
    </w:p>
    <w:p>
      <w:pPr>
        <w:spacing w:line="360" w:lineRule="auto" w:after="120"/>
      </w:pPr>
      <w:r>
        <w:rPr>
          <w:rFonts w:ascii="微软雅黑" w:hAnsi="微软雅黑"/>
          <w:sz w:val="21"/>
        </w:rPr>
        <w:t>以下步骤指导创建一个 SDDI 实例：</w:t>
      </w:r>
    </w:p>
    <w:p>
      <w:pPr>
        <w:pStyle w:val="ListNumber"/>
        <w:spacing w:line="360" w:lineRule="auto" w:after="120"/>
      </w:pPr>
      <w:r>
        <w:rPr>
          <w:rFonts w:ascii="微软雅黑" w:hAnsi="微软雅黑"/>
          <w:sz w:val="21"/>
        </w:rPr>
        <w:t>从</w:t>
      </w:r>
      <w:r>
        <w:rPr>
          <w:rFonts w:ascii="微软雅黑" w:hAnsi="微软雅黑"/>
          <w:color w:val="0066CC"/>
          <w:sz w:val="21"/>
          <w:u w:val="single"/>
        </w:rPr>
        <w:t>侧边栏</w:t>
      </w:r>
      <w:r>
        <w:rPr>
          <w:rFonts w:ascii="微软雅黑" w:hAnsi="微软雅黑"/>
          <w:sz w:val="21"/>
        </w:rPr>
        <w:t xml:space="preserve">或在 </w:t>
      </w:r>
      <w:r>
        <w:rPr>
          <w:rFonts w:ascii="Consolas" w:hAnsi="Consolas"/>
          <w:color w:val="B43C3C"/>
          <w:sz w:val="18"/>
        </w:rPr>
        <w:t>[foundryinstance URL]/workspace/sddi-app</w:t>
      </w:r>
      <w:r>
        <w:rPr>
          <w:rFonts w:ascii="微软雅黑" w:hAnsi="微软雅黑"/>
          <w:sz w:val="21"/>
        </w:rPr>
        <w:t xml:space="preserve"> 打开 SDDI Cockpit，并选择 </w:t>
      </w:r>
      <w:r>
        <w:rPr>
          <w:rFonts w:ascii="微软雅黑" w:hAnsi="微软雅黑"/>
          <w:b/>
          <w:sz w:val="21"/>
        </w:rPr>
        <w:t>创建新实例</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873828"/>
            <wp:docPr id="46" name="Picture 46"/>
            <wp:cNvGraphicFramePr>
              <a:graphicFrameLocks noChangeAspect="1"/>
            </wp:cNvGraphicFramePr>
            <a:graphic>
              <a:graphicData uri="http://schemas.openxmlformats.org/drawingml/2006/picture">
                <pic:pic>
                  <pic:nvPicPr>
                    <pic:cNvPr id="0" name="v1-sddi-initial-set-up.png"/>
                    <pic:cNvPicPr/>
                  </pic:nvPicPr>
                  <pic:blipFill>
                    <a:blip r:embed="rId48"/>
                    <a:stretch>
                      <a:fillRect/>
                    </a:stretch>
                  </pic:blipFill>
                  <pic:spPr>
                    <a:xfrm>
                      <a:off x="0" y="0"/>
                      <a:ext cx="5029200" cy="2873828"/>
                    </a:xfrm>
                    <a:prstGeom prst="rect"/>
                  </pic:spPr>
                </pic:pic>
              </a:graphicData>
            </a:graphic>
          </wp:inline>
        </w:drawing>
      </w:r>
    </w:p>
    <w:p>
      <w:pPr>
        <w:pStyle w:val="ListNumber"/>
        <w:spacing w:line="360" w:lineRule="auto" w:after="120"/>
      </w:pPr>
      <w:r>
        <w:rPr>
          <w:rFonts w:ascii="微软雅黑" w:hAnsi="微软雅黑"/>
          <w:sz w:val="21"/>
        </w:rPr>
        <w:t>按照屏幕上的说明选择适当的源类型。</w:t>
      </w:r>
    </w:p>
    <w:p>
      <w:pPr>
        <w:pStyle w:val="ListNumber"/>
        <w:spacing w:line="360" w:lineRule="auto" w:after="120"/>
      </w:pPr>
      <w:r>
        <w:rPr>
          <w:rFonts w:ascii="微软雅黑" w:hAnsi="微软雅黑"/>
          <w:sz w:val="21"/>
        </w:rPr>
        <w:t>输入您首选的存储库名称，并选择所需的存储库位置以及管道输出文件夹位置。对于管道输出文件夹，HyperAuto 提供了建议的位置。</w:t>
      </w:r>
    </w:p>
    <w:p>
      <w:pPr>
        <w:spacing w:before="120" w:after="240"/>
        <w:jc w:val="center"/>
      </w:pPr>
      <w:r>
        <w:drawing>
          <wp:inline xmlns:a="http://schemas.openxmlformats.org/drawingml/2006/main" xmlns:pic="http://schemas.openxmlformats.org/drawingml/2006/picture">
            <wp:extent cx="5029200" cy="3568353"/>
            <wp:docPr id="47" name="Picture 47"/>
            <wp:cNvGraphicFramePr>
              <a:graphicFrameLocks noChangeAspect="1"/>
            </wp:cNvGraphicFramePr>
            <a:graphic>
              <a:graphicData uri="http://schemas.openxmlformats.org/drawingml/2006/picture">
                <pic:pic>
                  <pic:nvPicPr>
                    <pic:cNvPr id="0" name="v1-sddi-initial-set-up-new-repo-for-non-sap-sources.png"/>
                    <pic:cNvPicPr/>
                  </pic:nvPicPr>
                  <pic:blipFill>
                    <a:blip r:embed="rId49"/>
                    <a:stretch>
                      <a:fillRect/>
                    </a:stretch>
                  </pic:blipFill>
                  <pic:spPr>
                    <a:xfrm>
                      <a:off x="0" y="0"/>
                      <a:ext cx="5029200" cy="3568353"/>
                    </a:xfrm>
                    <a:prstGeom prst="rect"/>
                  </pic:spPr>
                </pic:pic>
              </a:graphicData>
            </a:graphic>
          </wp:inline>
        </w:drawing>
      </w:r>
    </w:p>
    <w:p>
      <w:pPr>
        <w:pStyle w:val="ListNumber"/>
        <w:spacing w:line="360" w:lineRule="auto" w:after="120"/>
      </w:pPr>
      <w:r>
        <w:rPr>
          <w:rFonts w:ascii="微软雅黑" w:hAnsi="微软雅黑"/>
          <w:sz w:val="21"/>
        </w:rPr>
        <w:t>配置您希望应用 HyperAuto 的数据连接源。此源应具有与您在步骤 1 中选择的相同源类型。分别确定原始数据和元数据的文件夹位置。这些文件夹将随后存放从源同步的原始数据和元数据集。</w:t>
      </w:r>
    </w:p>
    <w:p>
      <w:pPr>
        <w:spacing w:before="120" w:after="240"/>
        <w:jc w:val="center"/>
      </w:pPr>
      <w:r>
        <w:drawing>
          <wp:inline xmlns:a="http://schemas.openxmlformats.org/drawingml/2006/main" xmlns:pic="http://schemas.openxmlformats.org/drawingml/2006/picture">
            <wp:extent cx="5029200" cy="3300538"/>
            <wp:docPr id="48" name="Picture 48"/>
            <wp:cNvGraphicFramePr>
              <a:graphicFrameLocks noChangeAspect="1"/>
            </wp:cNvGraphicFramePr>
            <a:graphic>
              <a:graphicData uri="http://schemas.openxmlformats.org/drawingml/2006/picture">
                <pic:pic>
                  <pic:nvPicPr>
                    <pic:cNvPr id="0" name="v1-sddi-initial-set-up-source-configuration-for-non-sap-sources.png"/>
                    <pic:cNvPicPr/>
                  </pic:nvPicPr>
                  <pic:blipFill>
                    <a:blip r:embed="rId50"/>
                    <a:stretch>
                      <a:fillRect/>
                    </a:stretch>
                  </pic:blipFill>
                  <pic:spPr>
                    <a:xfrm>
                      <a:off x="0" y="0"/>
                      <a:ext cx="5029200" cy="3300538"/>
                    </a:xfrm>
                    <a:prstGeom prst="rect"/>
                  </pic:spPr>
                </pic:pic>
              </a:graphicData>
            </a:graphic>
          </wp:inline>
        </w:drawing>
      </w:r>
    </w:p>
    <w:p>
      <w:pPr>
        <w:pStyle w:val="ListNumber"/>
        <w:spacing w:line="360" w:lineRule="auto" w:after="120"/>
      </w:pPr>
      <w:r>
        <w:rPr>
          <w:rFonts w:ascii="微软雅黑" w:hAnsi="微软雅黑"/>
          <w:sz w:val="21"/>
        </w:rPr>
        <w:t>在“同步数据”步骤中同步数据库元数据表。这将从您的源系统同步相关的元数据表，并将其添加到指定的自动管道生成器存储库中，以在后台生成管道。</w:t>
      </w:r>
    </w:p>
    <w:p>
      <w:pPr>
        <w:spacing w:before="120" w:after="240"/>
        <w:jc w:val="center"/>
      </w:pPr>
      <w:r>
        <w:drawing>
          <wp:inline xmlns:a="http://schemas.openxmlformats.org/drawingml/2006/main" xmlns:pic="http://schemas.openxmlformats.org/drawingml/2006/picture">
            <wp:extent cx="5029200" cy="1410737"/>
            <wp:docPr id="49" name="Picture 49"/>
            <wp:cNvGraphicFramePr>
              <a:graphicFrameLocks noChangeAspect="1"/>
            </wp:cNvGraphicFramePr>
            <a:graphic>
              <a:graphicData uri="http://schemas.openxmlformats.org/drawingml/2006/picture">
                <pic:pic>
                  <pic:nvPicPr>
                    <pic:cNvPr id="0" name="v1-sddi-metadata-ingestion.png"/>
                    <pic:cNvPicPr/>
                  </pic:nvPicPr>
                  <pic:blipFill>
                    <a:blip r:embed="rId51"/>
                    <a:stretch>
                      <a:fillRect/>
                    </a:stretch>
                  </pic:blipFill>
                  <pic:spPr>
                    <a:xfrm>
                      <a:off x="0" y="0"/>
                      <a:ext cx="5029200" cy="1410737"/>
                    </a:xfrm>
                    <a:prstGeom prst="rect"/>
                  </pic:spPr>
                </pic:pic>
              </a:graphicData>
            </a:graphic>
          </wp:inline>
        </w:drawing>
      </w:r>
    </w:p>
    <w:p>
      <w:pPr>
        <w:spacing w:line="360" w:lineRule="auto" w:after="120"/>
      </w:pPr>
      <w:r>
        <w:rPr>
          <w:rFonts w:ascii="微软雅黑" w:hAnsi="微软雅黑"/>
          <w:sz w:val="21"/>
        </w:rPr>
        <w:t>您的 SDDI 实例现在应该可以正常运行，并准备从您的源中清理表格。要了解有关配置和执行 SDDI 流的更多信息，请导航到</w:t>
      </w:r>
      <w:r>
        <w:rPr>
          <w:rFonts w:ascii="微软雅黑" w:hAnsi="微软雅黑"/>
          <w:color w:val="0066CC"/>
          <w:sz w:val="21"/>
          <w:u w:val="single"/>
        </w:rPr>
        <w:t>Cockpit</w:t>
      </w:r>
      <w:r>
        <w:rPr>
          <w:rFonts w:ascii="微软雅黑" w:hAnsi="微软雅黑"/>
          <w:sz w:val="21"/>
        </w:rPr>
        <w:t>。</w:t>
      </w:r>
    </w:p>
    <w:p>
      <w:r>
        <w:br w:type="page"/>
      </w:r>
    </w:p>
    <w:p>
      <w:pPr>
        <w:pStyle w:val="Heading1"/>
      </w:pPr>
      <w:r>
        <w:rPr>
          <w:rFonts w:ascii="微软雅黑" w:hAnsi="微软雅黑"/>
        </w:rPr>
        <w:t>数据源探索</w:t>
      </w:r>
    </w:p>
    <w:p>
      <w:pPr>
        <w:spacing w:line="360" w:lineRule="auto" w:after="120"/>
      </w:pPr>
      <w:r>
        <w:rPr>
          <w:rFonts w:ascii="微软雅黑" w:hAnsi="微软雅黑"/>
          <w:sz w:val="21"/>
        </w:rPr>
        <w:t># 数据源探索</w:t>
      </w:r>
    </w:p>
    <w:p>
      <w:pPr>
        <w:spacing w:line="360" w:lineRule="auto" w:after="120"/>
      </w:pPr>
      <w:r>
        <w:rPr>
          <w:rFonts w:ascii="微软雅黑" w:hAnsi="微软雅黑"/>
          <w:sz w:val="21"/>
        </w:rPr>
        <w:t>Salesforce 和 Netsuite 数据源将迁移到</w:t>
      </w:r>
      <w:r>
        <w:rPr>
          <w:rFonts w:ascii="微软雅黑" w:hAnsi="微软雅黑"/>
          <w:color w:val="0066CC"/>
          <w:sz w:val="21"/>
          <w:u w:val="single"/>
        </w:rPr>
        <w:t>默认探索</w:t>
      </w:r>
      <w:r>
        <w:rPr>
          <w:rFonts w:ascii="微软雅黑" w:hAnsi="微软雅黑"/>
          <w:sz w:val="21"/>
        </w:rPr>
        <w:t xml:space="preserve"> ，此页面将被弃用。</w:t>
      </w:r>
    </w:p>
    <w:p>
      <w:pPr>
        <w:spacing w:line="360" w:lineRule="auto" w:after="120"/>
      </w:pPr>
      <w:r>
        <w:rPr>
          <w:rFonts w:ascii="微软雅黑" w:hAnsi="微软雅黑"/>
          <w:sz w:val="21"/>
        </w:rPr>
        <w:t>如果您有一个连接到 Salesforce 或 Netsuite 数据源的 SDDI 仓库，“raw”文件夹现在配置在</w:t>
      </w:r>
      <w:r>
        <w:rPr>
          <w:rFonts w:ascii="微软雅黑" w:hAnsi="微软雅黑"/>
          <w:b/>
          <w:sz w:val="21"/>
        </w:rPr>
        <w:t>数据源概览</w:t>
      </w:r>
      <w:r>
        <w:rPr>
          <w:rFonts w:ascii="微软雅黑" w:hAnsi="微软雅黑"/>
          <w:sz w:val="21"/>
        </w:rPr>
        <w:t xml:space="preserve">页面。请确保那里定义的文件夹与您 SDDI 仓库中相应的 </w:t>
      </w:r>
      <w:r>
        <w:rPr>
          <w:rFonts w:ascii="Consolas" w:hAnsi="Consolas"/>
          <w:color w:val="B43C3C"/>
          <w:sz w:val="18"/>
        </w:rPr>
        <w:t>SourceConfig-...-.yaml</w:t>
      </w:r>
      <w:r>
        <w:rPr>
          <w:rFonts w:ascii="微软雅黑" w:hAnsi="微软雅黑"/>
          <w:sz w:val="21"/>
        </w:rPr>
        <w:t xml:space="preserve"> 文件中的配置匹配。</w:t>
      </w:r>
    </w:p>
    <w:p>
      <w:pPr>
        <w:spacing w:line="360" w:lineRule="auto" w:after="120"/>
      </w:pPr>
      <w:r>
        <w:rPr>
          <w:rFonts w:ascii="微软雅黑" w:hAnsi="微软雅黑"/>
          <w:sz w:val="21"/>
        </w:rPr>
        <w:t>在 HyperAuto V1 中，</w:t>
      </w:r>
      <w:r>
        <w:rPr>
          <w:rFonts w:ascii="微软雅黑" w:hAnsi="微软雅黑"/>
          <w:b/>
          <w:sz w:val="21"/>
        </w:rPr>
        <w:t>数据源探索</w:t>
      </w:r>
      <w:r>
        <w:rPr>
          <w:rFonts w:ascii="微软雅黑" w:hAnsi="微软雅黑"/>
          <w:sz w:val="21"/>
        </w:rPr>
        <w:t>支持在数据集同步到 Foundry 之前，在 Foundry 界面内探索外部数据系统。可以通过在</w:t>
      </w:r>
      <w:r>
        <w:rPr>
          <w:rFonts w:ascii="微软雅黑" w:hAnsi="微软雅黑"/>
          <w:color w:val="0066CC"/>
          <w:sz w:val="21"/>
          <w:u w:val="single"/>
        </w:rPr>
        <w:t>数据连接</w:t>
      </w:r>
      <w:r>
        <w:rPr>
          <w:rFonts w:ascii="微软雅黑" w:hAnsi="微软雅黑"/>
          <w:sz w:val="21"/>
        </w:rPr>
        <w:t>应用程序中的任何 HyperAuto 连接器上选择</w:t>
      </w:r>
      <w:r>
        <w:rPr>
          <w:rFonts w:ascii="微软雅黑" w:hAnsi="微软雅黑"/>
          <w:b/>
          <w:sz w:val="21"/>
        </w:rPr>
        <w:t>探索和创建同步</w:t>
      </w:r>
      <w:r>
        <w:rPr>
          <w:rFonts w:ascii="微软雅黑" w:hAnsi="微软雅黑"/>
          <w:sz w:val="21"/>
        </w:rPr>
        <w:t>来访问。</w:t>
      </w:r>
    </w:p>
    <w:p>
      <w:pPr>
        <w:spacing w:after="40"/>
        <w:jc w:val="center"/>
      </w:pPr>
      <w:r>
        <w:rPr>
          <w:i/>
          <w:color w:val="646464"/>
          <w:sz w:val="18"/>
        </w:rPr>
        <w:t>图：探索和创建同步</w:t>
      </w:r>
    </w:p>
    <w:p>
      <w:pPr>
        <w:spacing w:before="120" w:after="240"/>
        <w:jc w:val="center"/>
      </w:pPr>
      <w:r>
        <w:drawing>
          <wp:inline xmlns:a="http://schemas.openxmlformats.org/drawingml/2006/main" xmlns:pic="http://schemas.openxmlformats.org/drawingml/2006/picture">
            <wp:extent cx="5029200" cy="422848"/>
            <wp:docPr id="50" name="Picture 50"/>
            <wp:cNvGraphicFramePr>
              <a:graphicFrameLocks noChangeAspect="1"/>
            </wp:cNvGraphicFramePr>
            <a:graphic>
              <a:graphicData uri="http://schemas.openxmlformats.org/drawingml/2006/picture">
                <pic:pic>
                  <pic:nvPicPr>
                    <pic:cNvPr id="0" name="v1-sddi-explore-and-create-syncs.png"/>
                    <pic:cNvPicPr/>
                  </pic:nvPicPr>
                  <pic:blipFill>
                    <a:blip r:embed="rId52"/>
                    <a:stretch>
                      <a:fillRect/>
                    </a:stretch>
                  </pic:blipFill>
                  <pic:spPr>
                    <a:xfrm>
                      <a:off x="0" y="0"/>
                      <a:ext cx="5029200" cy="422848"/>
                    </a:xfrm>
                    <a:prstGeom prst="rect"/>
                  </pic:spPr>
                </pic:pic>
              </a:graphicData>
            </a:graphic>
          </wp:inline>
        </w:drawing>
      </w:r>
    </w:p>
    <w:p>
      <w:pPr>
        <w:spacing w:line="360" w:lineRule="auto" w:after="120"/>
      </w:pPr>
      <w:r>
        <w:rPr>
          <w:rFonts w:ascii="微软雅黑" w:hAnsi="微软雅黑"/>
          <w:sz w:val="21"/>
        </w:rPr>
        <w:t>通过数据源探索，您可以：</w:t>
      </w:r>
    </w:p>
    <w:p>
      <w:pPr>
        <w:pStyle w:val="ListBullet"/>
        <w:spacing w:line="360" w:lineRule="auto" w:after="120"/>
      </w:pPr>
      <w:r>
        <w:rPr>
          <w:rFonts w:ascii="微软雅黑" w:hAnsi="微软雅黑"/>
          <w:sz w:val="21"/>
        </w:rPr>
        <w:t>轻松查找和发现原始数据集</w:t>
      </w:r>
    </w:p>
    <w:p>
      <w:pPr>
        <w:pStyle w:val="ListBullet"/>
        <w:spacing w:line="360" w:lineRule="auto" w:after="120"/>
      </w:pPr>
      <w:r>
        <w:rPr>
          <w:rFonts w:ascii="微软雅黑" w:hAnsi="微软雅黑"/>
          <w:sz w:val="21"/>
        </w:rPr>
        <w:t>搜索以查找数据集</w:t>
      </w:r>
    </w:p>
    <w:p>
      <w:pPr>
        <w:pStyle w:val="ListBullet"/>
        <w:spacing w:line="360" w:lineRule="auto" w:after="120"/>
      </w:pPr>
      <w:r>
        <w:rPr>
          <w:rFonts w:ascii="微软雅黑" w:hAnsi="微软雅黑"/>
          <w:sz w:val="21"/>
        </w:rPr>
        <w:t>点击浏览不同分类文件夹以查看数据</w:t>
      </w:r>
    </w:p>
    <w:p>
      <w:pPr>
        <w:pStyle w:val="ListBullet"/>
        <w:spacing w:line="360" w:lineRule="auto" w:after="120"/>
      </w:pPr>
      <w:r>
        <w:rPr>
          <w:rFonts w:ascii="微软雅黑" w:hAnsi="微软雅黑"/>
          <w:sz w:val="21"/>
        </w:rPr>
        <w:t>通过强大的界面探索源中原始数据集的关系</w:t>
      </w:r>
    </w:p>
    <w:p>
      <w:pPr>
        <w:pStyle w:val="ListBullet"/>
        <w:spacing w:line="360" w:lineRule="auto" w:after="120"/>
      </w:pPr>
      <w:r>
        <w:rPr>
          <w:rFonts w:ascii="微软雅黑" w:hAnsi="微软雅黑"/>
          <w:sz w:val="21"/>
        </w:rPr>
        <w:t>展开或隐藏相关数据集</w:t>
      </w:r>
    </w:p>
    <w:p>
      <w:pPr>
        <w:pStyle w:val="ListBullet"/>
        <w:spacing w:line="360" w:lineRule="auto" w:after="120"/>
      </w:pPr>
      <w:r>
        <w:rPr>
          <w:rFonts w:ascii="微软雅黑" w:hAnsi="微软雅黑"/>
          <w:sz w:val="21"/>
        </w:rPr>
        <w:t>查看数据集的属性</w:t>
      </w:r>
    </w:p>
    <w:p>
      <w:pPr>
        <w:pStyle w:val="ListBullet"/>
        <w:spacing w:line="360" w:lineRule="auto" w:after="120"/>
      </w:pPr>
      <w:r>
        <w:rPr>
          <w:rFonts w:ascii="微软雅黑" w:hAnsi="微软雅黑"/>
          <w:sz w:val="21"/>
        </w:rPr>
        <w:t>预览数据集、其模式和关系</w:t>
      </w:r>
    </w:p>
    <w:p>
      <w:pPr>
        <w:pStyle w:val="ListBullet"/>
        <w:spacing w:line="360" w:lineRule="auto" w:after="120"/>
      </w:pPr>
      <w:r>
        <w:rPr>
          <w:rFonts w:ascii="微软雅黑" w:hAnsi="微软雅黑"/>
          <w:sz w:val="21"/>
        </w:rPr>
        <w:t>直观地创建和配置数据集同步</w:t>
      </w:r>
    </w:p>
    <w:p>
      <w:pPr>
        <w:pStyle w:val="ListBullet"/>
        <w:spacing w:line="360" w:lineRule="auto" w:after="120"/>
      </w:pPr>
      <w:r>
        <w:rPr>
          <w:rFonts w:ascii="微软雅黑" w:hAnsi="微软雅黑"/>
          <w:sz w:val="21"/>
        </w:rPr>
        <w:t>通过点选购物车体验创建和配置同步</w:t>
      </w:r>
    </w:p>
    <w:p>
      <w:pPr>
        <w:pStyle w:val="Heading2"/>
      </w:pPr>
      <w:r>
        <w:rPr>
          <w:rFonts w:ascii="微软雅黑" w:hAnsi="微软雅黑"/>
        </w:rPr>
        <w:t>界面快速入门</w:t>
      </w:r>
    </w:p>
    <w:p>
      <w:pPr>
        <w:pStyle w:val="ListNumber"/>
        <w:spacing w:line="360" w:lineRule="auto" w:after="120"/>
      </w:pPr>
      <w:r>
        <w:rPr>
          <w:rFonts w:ascii="微软雅黑" w:hAnsi="微软雅黑"/>
          <w:color w:val="0066CC"/>
          <w:sz w:val="21"/>
          <w:u w:val="single"/>
        </w:rPr>
        <w:t>血统图</w:t>
      </w:r>
    </w:p>
    <w:p>
      <w:pPr>
        <w:pStyle w:val="ListNumber"/>
        <w:spacing w:line="360" w:lineRule="auto" w:after="120"/>
      </w:pPr>
      <w:r>
        <w:rPr>
          <w:rFonts w:ascii="微软雅黑" w:hAnsi="微软雅黑"/>
          <w:color w:val="0066CC"/>
          <w:sz w:val="21"/>
          <w:u w:val="single"/>
        </w:rPr>
        <w:t>图工具</w:t>
      </w:r>
    </w:p>
    <w:p>
      <w:pPr>
        <w:pStyle w:val="ListNumber"/>
        <w:spacing w:line="360" w:lineRule="auto" w:after="120"/>
      </w:pPr>
      <w:r>
        <w:rPr>
          <w:rFonts w:ascii="微软雅黑" w:hAnsi="微软雅黑"/>
          <w:color w:val="0066CC"/>
          <w:sz w:val="21"/>
          <w:u w:val="single"/>
        </w:rPr>
        <w:t>支持管道生成器</w:t>
      </w:r>
    </w:p>
    <w:p>
      <w:pPr>
        <w:pStyle w:val="ListNumber"/>
        <w:spacing w:line="360" w:lineRule="auto" w:after="120"/>
      </w:pPr>
      <w:r>
        <w:rPr>
          <w:rFonts w:ascii="微软雅黑" w:hAnsi="微软雅黑"/>
          <w:color w:val="0066CC"/>
          <w:sz w:val="21"/>
          <w:u w:val="single"/>
        </w:rPr>
        <w:t>数据集购物车和同步配置</w:t>
      </w:r>
    </w:p>
    <w:p>
      <w:pPr>
        <w:pStyle w:val="ListNumber"/>
        <w:spacing w:line="360" w:lineRule="auto" w:after="120"/>
      </w:pPr>
      <w:r>
        <w:rPr>
          <w:rFonts w:ascii="微软雅黑" w:hAnsi="微软雅黑"/>
          <w:color w:val="0066CC"/>
          <w:sz w:val="21"/>
          <w:u w:val="single"/>
        </w:rPr>
        <w:t>右侧面板</w:t>
      </w:r>
    </w:p>
    <w:p>
      <w:pPr>
        <w:pStyle w:val="ListNumber"/>
        <w:spacing w:line="360" w:lineRule="auto" w:after="120"/>
      </w:pPr>
      <w:r>
        <w:rPr>
          <w:rFonts w:ascii="微软雅黑" w:hAnsi="微软雅黑"/>
          <w:color w:val="0066CC"/>
          <w:sz w:val="21"/>
          <w:u w:val="single"/>
        </w:rPr>
        <w:t>数据集预览</w:t>
      </w:r>
    </w:p>
    <w:p>
      <w:pPr>
        <w:pStyle w:val="ListNumber"/>
        <w:spacing w:line="360" w:lineRule="auto" w:after="120"/>
      </w:pPr>
      <w:r>
        <w:rPr>
          <w:rFonts w:ascii="微软雅黑" w:hAnsi="微软雅黑"/>
          <w:color w:val="0066CC"/>
          <w:sz w:val="21"/>
          <w:u w:val="single"/>
        </w:rPr>
        <w:t>左侧搜索面板</w:t>
      </w:r>
    </w:p>
    <w:p>
      <w:pPr>
        <w:spacing w:after="40"/>
        <w:jc w:val="center"/>
      </w:pPr>
      <w:r>
        <w:rPr>
          <w:i/>
          <w:color w:val="646464"/>
          <w:sz w:val="18"/>
        </w:rPr>
        <w:t>图：SDDI 数据源探索器 UI</w:t>
      </w:r>
    </w:p>
    <w:p>
      <w:pPr>
        <w:spacing w:before="120" w:after="240"/>
        <w:jc w:val="center"/>
      </w:pPr>
      <w:r>
        <w:drawing>
          <wp:inline xmlns:a="http://schemas.openxmlformats.org/drawingml/2006/main" xmlns:pic="http://schemas.openxmlformats.org/drawingml/2006/picture">
            <wp:extent cx="5029200" cy="2900705"/>
            <wp:docPr id="51" name="Picture 51"/>
            <wp:cNvGraphicFramePr>
              <a:graphicFrameLocks noChangeAspect="1"/>
            </wp:cNvGraphicFramePr>
            <a:graphic>
              <a:graphicData uri="http://schemas.openxmlformats.org/drawingml/2006/picture">
                <pic:pic>
                  <pic:nvPicPr>
                    <pic:cNvPr id="0" name="v1-sddi-source-explorer-ui.png"/>
                    <pic:cNvPicPr/>
                  </pic:nvPicPr>
                  <pic:blipFill>
                    <a:blip r:embed="rId53"/>
                    <a:stretch>
                      <a:fillRect/>
                    </a:stretch>
                  </pic:blipFill>
                  <pic:spPr>
                    <a:xfrm>
                      <a:off x="0" y="0"/>
                      <a:ext cx="5029200" cy="2900705"/>
                    </a:xfrm>
                    <a:prstGeom prst="rect"/>
                  </pic:spPr>
                </pic:pic>
              </a:graphicData>
            </a:graphic>
          </wp:inline>
        </w:drawing>
      </w:r>
    </w:p>
    <w:p>
      <w:pPr>
        <w:pStyle w:val="Heading3"/>
      </w:pPr>
      <w:r>
        <w:rPr>
          <w:rFonts w:ascii="微软雅黑" w:hAnsi="微软雅黑"/>
        </w:rPr>
        <w:t>血统图</w:t>
      </w:r>
    </w:p>
    <w:p>
      <w:pPr>
        <w:spacing w:line="360" w:lineRule="auto" w:after="120"/>
      </w:pPr>
      <w:r>
        <w:rPr>
          <w:rFonts w:ascii="微软雅黑" w:hAnsi="微软雅黑"/>
          <w:sz w:val="21"/>
        </w:rPr>
        <w:t>该图是安排和操作数据集节点的工作区，在数据源处探索数据集关系。</w:t>
      </w:r>
    </w:p>
    <w:p>
      <w:pPr>
        <w:spacing w:line="360" w:lineRule="auto" w:after="120"/>
      </w:pPr>
      <w:r>
        <w:rPr>
          <w:rFonts w:ascii="微软雅黑" w:hAnsi="微软雅黑"/>
          <w:sz w:val="21"/>
        </w:rPr>
        <w:t>您可以使用</w:t>
      </w:r>
      <w:r>
        <w:rPr>
          <w:rFonts w:ascii="微软雅黑" w:hAnsi="微软雅黑"/>
          <w:color w:val="0066CC"/>
          <w:sz w:val="21"/>
          <w:u w:val="single"/>
        </w:rPr>
        <w:t>左侧搜索面板</w:t>
      </w:r>
      <w:r>
        <w:rPr>
          <w:rFonts w:ascii="微软雅黑" w:hAnsi="微软雅黑"/>
          <w:sz w:val="21"/>
        </w:rPr>
        <w:t>将数据集节点添加到血统图中。点击图上每个节点右下角的向下箭头，可以查看该数据集可用的列列表。然后您可以通过点击每个节点右上角的链接图标添加其相关数据集。要隐藏这些相关数据集，请点击右上角的箭头图标。您可以通过点击并拖动手动重新排列节点。您还可以点击</w:t>
      </w:r>
      <w:r>
        <w:rPr>
          <w:rFonts w:ascii="微软雅黑" w:hAnsi="微软雅黑"/>
          <w:b/>
          <w:sz w:val="21"/>
        </w:rPr>
        <w:t>设计</w:t>
      </w:r>
      <w:r>
        <w:rPr>
          <w:rFonts w:ascii="微软雅黑" w:hAnsi="微软雅黑"/>
          <w:sz w:val="21"/>
        </w:rPr>
        <w:t>按钮自动设计节点。</w:t>
      </w:r>
    </w:p>
    <w:p>
      <w:pPr>
        <w:spacing w:line="360" w:lineRule="auto" w:after="120"/>
      </w:pPr>
      <w:r>
        <w:rPr>
          <w:rFonts w:ascii="微软雅黑" w:hAnsi="微软雅黑"/>
          <w:sz w:val="21"/>
        </w:rPr>
        <w:t>您可以通过点击选择一个节点，或使用 Ctrl + 点击（Mac 上为 Cmd + 点击）选择多个节点。一旦选择了一个或多个节点，可以通过右键点击节点来访问右键菜单，将节点移除或添加到</w:t>
      </w:r>
      <w:r>
        <w:rPr>
          <w:rFonts w:ascii="微软雅黑" w:hAnsi="微软雅黑"/>
          <w:color w:val="0066CC"/>
          <w:sz w:val="21"/>
          <w:u w:val="single"/>
        </w:rPr>
        <w:t>数据集购物车和同步配置</w:t>
      </w:r>
      <w:r>
        <w:rPr>
          <w:rFonts w:ascii="微软雅黑" w:hAnsi="微软雅黑"/>
          <w:sz w:val="21"/>
        </w:rPr>
        <w:t>。如果选择了一个节点，</w:t>
      </w:r>
      <w:r>
        <w:rPr>
          <w:rFonts w:ascii="微软雅黑" w:hAnsi="微软雅黑"/>
          <w:color w:val="0066CC"/>
          <w:sz w:val="21"/>
          <w:u w:val="single"/>
        </w:rPr>
        <w:t>数据集预览</w:t>
      </w:r>
      <w:r>
        <w:rPr>
          <w:rFonts w:ascii="微软雅黑" w:hAnsi="微软雅黑"/>
          <w:sz w:val="21"/>
        </w:rPr>
        <w:t>面板将弹出以显示数据集预览。</w:t>
      </w:r>
    </w:p>
    <w:p>
      <w:pPr>
        <w:pStyle w:val="Heading3"/>
      </w:pPr>
      <w:r>
        <w:rPr>
          <w:rFonts w:ascii="微软雅黑" w:hAnsi="微软雅黑"/>
        </w:rPr>
        <w:t>图工具</w:t>
      </w:r>
    </w:p>
    <w:p>
      <w:pPr>
        <w:spacing w:line="360" w:lineRule="auto" w:after="120"/>
      </w:pPr>
      <w:r>
        <w:rPr>
          <w:rFonts w:ascii="微软雅黑" w:hAnsi="微软雅黑"/>
          <w:sz w:val="21"/>
        </w:rPr>
        <w:t>图工具提供了一组图探索、导航和自定义功能：</w:t>
      </w:r>
    </w:p>
    <w:p>
      <w:pPr>
        <w:pStyle w:val="ListBullet"/>
        <w:spacing w:line="360" w:lineRule="auto" w:after="120"/>
      </w:pPr>
      <w:r>
        <w:rPr>
          <w:rFonts w:ascii="微软雅黑" w:hAnsi="微软雅黑"/>
          <w:sz w:val="21"/>
        </w:rPr>
        <w:t>撤销和重做 - 撤销或重做图探索和导航操作的按钮</w:t>
      </w:r>
    </w:p>
    <w:p>
      <w:pPr>
        <w:pStyle w:val="ListBullet"/>
        <w:spacing w:line="360" w:lineRule="auto" w:after="120"/>
      </w:pPr>
      <w:r>
        <w:rPr>
          <w:rFonts w:ascii="微软雅黑" w:hAnsi="微软雅黑"/>
          <w:sz w:val="21"/>
        </w:rPr>
        <w:t>设计 - 自动设计血统图中的数据集节点</w:t>
      </w:r>
    </w:p>
    <w:p>
      <w:pPr>
        <w:pStyle w:val="ListBullet"/>
        <w:spacing w:line="360" w:lineRule="auto" w:after="120"/>
      </w:pPr>
      <w:r>
        <w:rPr>
          <w:rFonts w:ascii="微软雅黑" w:hAnsi="微软雅黑"/>
          <w:sz w:val="21"/>
        </w:rPr>
        <w:t>搜索 - 按名称或列搜索数据集节点</w:t>
      </w:r>
    </w:p>
    <w:p>
      <w:pPr>
        <w:pStyle w:val="Heading3"/>
      </w:pPr>
      <w:r>
        <w:rPr>
          <w:rFonts w:ascii="微软雅黑" w:hAnsi="微软雅黑"/>
        </w:rPr>
        <w:t>支持管道生成器</w:t>
      </w:r>
    </w:p>
    <w:p>
      <w:pPr>
        <w:spacing w:line="360" w:lineRule="auto" w:after="120"/>
      </w:pPr>
      <w:r>
        <w:rPr>
          <w:rFonts w:ascii="微软雅黑" w:hAnsi="微软雅黑"/>
          <w:sz w:val="21"/>
        </w:rPr>
        <w:t>在数据源探索中，一旦您完成了探索和同步创建，它们将被定向以推动配置更改到相关的自动管道生成器。支持管道生成器指示与数据源探索会话相关联的特定管道生成器代码仓库，因此管道配置将落在那里。</w:t>
      </w:r>
    </w:p>
    <w:p>
      <w:pPr>
        <w:spacing w:line="360" w:lineRule="auto" w:after="120"/>
      </w:pPr>
      <w:r>
        <w:rPr>
          <w:rFonts w:ascii="微软雅黑" w:hAnsi="微软雅黑"/>
          <w:sz w:val="21"/>
        </w:rPr>
        <w:t>要更改支持管道生成器，您可以导航到</w:t>
      </w:r>
      <w:r>
        <w:rPr>
          <w:rFonts w:ascii="微软雅黑" w:hAnsi="微软雅黑"/>
          <w:color w:val="0066CC"/>
          <w:sz w:val="21"/>
          <w:u w:val="single"/>
        </w:rPr>
        <w:t>数据连接</w:t>
      </w:r>
      <w:r>
        <w:rPr>
          <w:rFonts w:ascii="微软雅黑" w:hAnsi="微软雅黑"/>
          <w:sz w:val="21"/>
        </w:rPr>
        <w:t>应用程序中的数据源页面，并在点击</w:t>
      </w:r>
      <w:r>
        <w:rPr>
          <w:rFonts w:ascii="微软雅黑" w:hAnsi="微软雅黑"/>
          <w:b/>
          <w:sz w:val="21"/>
        </w:rPr>
        <w:t>编辑管道生成器设置</w:t>
      </w:r>
      <w:r>
        <w:rPr>
          <w:rFonts w:ascii="微软雅黑" w:hAnsi="微软雅黑"/>
          <w:sz w:val="21"/>
        </w:rPr>
        <w:t>时选择相应的管道生成器。</w:t>
      </w:r>
    </w:p>
    <w:p>
      <w:pPr>
        <w:pStyle w:val="Heading3"/>
      </w:pPr>
      <w:r>
        <w:rPr>
          <w:rFonts w:ascii="微软雅黑" w:hAnsi="微软雅黑"/>
        </w:rPr>
        <w:t>数据集购物车和同步配置</w:t>
      </w:r>
    </w:p>
    <w:p>
      <w:pPr>
        <w:pStyle w:val="ListBullet"/>
        <w:spacing w:line="360" w:lineRule="auto" w:after="120"/>
      </w:pPr>
      <w:r>
        <w:rPr>
          <w:rFonts w:ascii="微软雅黑" w:hAnsi="微软雅黑"/>
          <w:b/>
          <w:sz w:val="21"/>
        </w:rPr>
        <w:t>目标文件夹</w:t>
      </w:r>
      <w:r>
        <w:rPr>
          <w:rFonts w:ascii="微软雅黑" w:hAnsi="微软雅黑"/>
          <w:sz w:val="21"/>
        </w:rPr>
        <w:t>。创建同步的文件夹链接。它在自动管道生成器中定义并可在 HyperAuto 应用程序中配置。</w:t>
      </w:r>
    </w:p>
    <w:p>
      <w:pPr>
        <w:pStyle w:val="ListBullet"/>
        <w:spacing w:line="360" w:lineRule="auto" w:after="120"/>
      </w:pPr>
      <w:r>
        <w:rPr>
          <w:rFonts w:ascii="微软雅黑" w:hAnsi="微软雅黑"/>
          <w:b/>
          <w:sz w:val="21"/>
        </w:rPr>
        <w:t>概览选项卡</w:t>
      </w:r>
      <w:r>
        <w:rPr>
          <w:rFonts w:ascii="微软雅黑" w:hAnsi="微软雅黑"/>
          <w:sz w:val="21"/>
        </w:rPr>
        <w:t>。包含同步创建购物车的概览信息</w:t>
      </w:r>
    </w:p>
    <w:p>
      <w:pPr>
        <w:pStyle w:val="ListBullet"/>
        <w:spacing w:line="360" w:lineRule="auto" w:after="120"/>
      </w:pPr>
      <w:r>
        <w:rPr>
          <w:rFonts w:ascii="微软雅黑" w:hAnsi="微软雅黑"/>
          <w:sz w:val="21"/>
        </w:rPr>
        <w:t>创建提取/更新提取/覆盖数据集/最新提取 - 按将执行的操作分组的提取列表</w:t>
      </w:r>
    </w:p>
    <w:p>
      <w:pPr>
        <w:spacing w:after="40"/>
        <w:jc w:val="center"/>
      </w:pPr>
      <w:r>
        <w:rPr>
          <w:i/>
          <w:color w:val="646464"/>
          <w:sz w:val="18"/>
        </w:rPr>
        <w:t>图：数据集购物车和同步配置</w:t>
      </w:r>
    </w:p>
    <w:p>
      <w:pPr>
        <w:spacing w:before="120" w:after="240"/>
        <w:jc w:val="center"/>
      </w:pPr>
      <w:r>
        <w:drawing>
          <wp:inline xmlns:a="http://schemas.openxmlformats.org/drawingml/2006/main" xmlns:pic="http://schemas.openxmlformats.org/drawingml/2006/picture">
            <wp:extent cx="5029200" cy="1223622"/>
            <wp:docPr id="52" name="Picture 52"/>
            <wp:cNvGraphicFramePr>
              <a:graphicFrameLocks noChangeAspect="1"/>
            </wp:cNvGraphicFramePr>
            <a:graphic>
              <a:graphicData uri="http://schemas.openxmlformats.org/drawingml/2006/picture">
                <pic:pic>
                  <pic:nvPicPr>
                    <pic:cNvPr id="0" name="v1-sddi-dataset-shopping-cart-and-sync-config.png"/>
                    <pic:cNvPicPr/>
                  </pic:nvPicPr>
                  <pic:blipFill>
                    <a:blip r:embed="rId54"/>
                    <a:stretch>
                      <a:fillRect/>
                    </a:stretch>
                  </pic:blipFill>
                  <pic:spPr>
                    <a:xfrm>
                      <a:off x="0" y="0"/>
                      <a:ext cx="5029200" cy="1223622"/>
                    </a:xfrm>
                    <a:prstGeom prst="rect"/>
                  </pic:spPr>
                </pic:pic>
              </a:graphicData>
            </a:graphic>
          </wp:inline>
        </w:drawing>
      </w:r>
    </w:p>
    <w:p>
      <w:r>
        <w:rPr>
          <w:rFonts w:ascii="微软雅黑" w:hAnsi="微软雅黑"/>
          <w:b/>
        </w:rPr>
        <w:t>表格选项卡</w:t>
      </w:r>
      <w:r>
        <w:rPr>
          <w:rFonts w:ascii="微软雅黑" w:hAnsi="微软雅黑"/>
        </w:rPr>
        <w:t>：。使您能够进行进一步的同步配置，例如事务类型以及表的预览。</w:t>
      </w:r>
    </w:p>
    <w:p>
      <w:pPr>
        <w:spacing w:after="40"/>
        <w:jc w:val="center"/>
      </w:pPr>
      <w:r>
        <w:rPr>
          <w:i/>
          <w:color w:val="646464"/>
          <w:sz w:val="18"/>
        </w:rPr>
        <w:t>图：数据集购物车表格选项卡</w:t>
      </w:r>
    </w:p>
    <w:p>
      <w:pPr>
        <w:spacing w:before="120" w:after="240"/>
        <w:jc w:val="center"/>
      </w:pPr>
      <w:r>
        <w:drawing>
          <wp:inline xmlns:a="http://schemas.openxmlformats.org/drawingml/2006/main" xmlns:pic="http://schemas.openxmlformats.org/drawingml/2006/picture">
            <wp:extent cx="5029200" cy="2023467"/>
            <wp:docPr id="53" name="Picture 53"/>
            <wp:cNvGraphicFramePr>
              <a:graphicFrameLocks noChangeAspect="1"/>
            </wp:cNvGraphicFramePr>
            <a:graphic>
              <a:graphicData uri="http://schemas.openxmlformats.org/drawingml/2006/picture">
                <pic:pic>
                  <pic:nvPicPr>
                    <pic:cNvPr id="0" name="v1-sddi-dataset-shopping-cart-tables-tab.png"/>
                    <pic:cNvPicPr/>
                  </pic:nvPicPr>
                  <pic:blipFill>
                    <a:blip r:embed="rId55"/>
                    <a:stretch>
                      <a:fillRect/>
                    </a:stretch>
                  </pic:blipFill>
                  <pic:spPr>
                    <a:xfrm>
                      <a:off x="0" y="0"/>
                      <a:ext cx="5029200" cy="2023467"/>
                    </a:xfrm>
                    <a:prstGeom prst="rect"/>
                  </pic:spPr>
                </pic:pic>
              </a:graphicData>
            </a:graphic>
          </wp:inline>
        </w:drawing>
      </w:r>
    </w:p>
    <w:p>
      <w:pPr>
        <w:pStyle w:val="ListBullet"/>
        <w:spacing w:line="360" w:lineRule="auto" w:after="120"/>
      </w:pPr>
      <w:r>
        <w:rPr>
          <w:rFonts w:ascii="微软雅黑" w:hAnsi="微软雅黑"/>
          <w:b/>
          <w:sz w:val="21"/>
        </w:rPr>
        <w:t>创建同步和集成</w:t>
      </w:r>
      <w:r>
        <w:rPr>
          <w:rFonts w:ascii="微软雅黑" w:hAnsi="微软雅黑"/>
          <w:sz w:val="21"/>
        </w:rPr>
        <w:t>。启动同步。</w:t>
      </w:r>
    </w:p>
    <w:p>
      <w:pPr>
        <w:pStyle w:val="ListBullet"/>
        <w:spacing w:line="360" w:lineRule="auto" w:after="120"/>
      </w:pPr>
      <w:r>
        <w:rPr>
          <w:rFonts w:ascii="微软雅黑" w:hAnsi="微软雅黑"/>
          <w:b/>
          <w:sz w:val="21"/>
        </w:rPr>
        <w:t>状态摘要</w:t>
      </w:r>
      <w:r>
        <w:rPr>
          <w:rFonts w:ascii="微软雅黑" w:hAnsi="微软雅黑"/>
          <w:sz w:val="21"/>
        </w:rPr>
        <w:t>。显示整个集成过程中执行的操作状态。</w:t>
      </w:r>
    </w:p>
    <w:p>
      <w:pPr>
        <w:pStyle w:val="Heading3"/>
      </w:pPr>
      <w:r>
        <w:rPr>
          <w:rFonts w:ascii="微软雅黑" w:hAnsi="微软雅黑"/>
        </w:rPr>
        <w:t>右侧面板</w:t>
      </w:r>
    </w:p>
    <w:p>
      <w:pPr>
        <w:pStyle w:val="ListBullet"/>
        <w:spacing w:line="360" w:lineRule="auto" w:after="120"/>
      </w:pPr>
      <w:r>
        <w:rPr>
          <w:rFonts w:ascii="微软雅黑" w:hAnsi="微软雅黑"/>
          <w:b/>
          <w:sz w:val="21"/>
        </w:rPr>
        <w:t>列</w:t>
      </w:r>
      <w:r>
        <w:rPr>
          <w:rFonts w:ascii="微软雅黑" w:hAnsi="微软雅黑"/>
          <w:sz w:val="21"/>
        </w:rPr>
        <w:t>。显示数据集中包含的完整列列表。钥匙图标指示所选数据集中的哪些列构成主键。</w:t>
      </w:r>
    </w:p>
    <w:p>
      <w:pPr>
        <w:pStyle w:val="ListBullet"/>
        <w:spacing w:line="360" w:lineRule="auto" w:after="120"/>
      </w:pPr>
      <w:r>
        <w:rPr>
          <w:rFonts w:ascii="微软雅黑" w:hAnsi="微软雅黑"/>
          <w:b/>
          <w:sz w:val="21"/>
        </w:rPr>
        <w:t>关系</w:t>
      </w:r>
      <w:r>
        <w:rPr>
          <w:rFonts w:ascii="微软雅黑" w:hAnsi="微软雅黑"/>
          <w:sz w:val="21"/>
        </w:rPr>
        <w:t>。显示源系统中相关数据集的关系。</w:t>
      </w:r>
    </w:p>
    <w:p>
      <w:pPr>
        <w:pStyle w:val="Heading3"/>
      </w:pPr>
      <w:r>
        <w:rPr>
          <w:rFonts w:ascii="微软雅黑" w:hAnsi="微软雅黑"/>
        </w:rPr>
        <w:t>数据集预览</w:t>
      </w:r>
    </w:p>
    <w:p>
      <w:pPr>
        <w:spacing w:line="360" w:lineRule="auto" w:after="120"/>
      </w:pPr>
      <w:r>
        <w:rPr>
          <w:rFonts w:ascii="微软雅黑" w:hAnsi="微软雅黑"/>
          <w:sz w:val="21"/>
        </w:rPr>
        <w:t>显示所选数据集中的数据样本。</w:t>
      </w:r>
    </w:p>
    <w:p>
      <w:pPr>
        <w:pStyle w:val="Heading3"/>
      </w:pPr>
      <w:r>
        <w:rPr>
          <w:rFonts w:ascii="微软雅黑" w:hAnsi="微软雅黑"/>
        </w:rPr>
        <w:t>左侧搜索面板</w:t>
      </w:r>
    </w:p>
    <w:p>
      <w:pPr>
        <w:spacing w:line="360" w:lineRule="auto" w:after="120"/>
      </w:pPr>
      <w:r>
        <w:rPr>
          <w:rFonts w:ascii="微软雅黑" w:hAnsi="微软雅黑"/>
          <w:sz w:val="21"/>
        </w:rPr>
        <w:t>左侧边栏用作导航和搜索工具。此面板中显示的表格根据为相关源系统类型定义的分组逻辑进行分类。</w:t>
      </w:r>
    </w:p>
    <w:p>
      <w:pPr>
        <w:spacing w:line="360" w:lineRule="auto" w:after="120"/>
      </w:pPr>
      <w:r>
        <w:rPr>
          <w:rFonts w:ascii="微软雅黑" w:hAnsi="微软雅黑"/>
          <w:sz w:val="21"/>
        </w:rPr>
        <w:t>当您开始输入搜索词时，面板会自动执行搜索以筛选列表以显示相关的表格和类别。一旦找到合适的数据集，您可以将它们添加到</w:t>
      </w:r>
      <w:r>
        <w:rPr>
          <w:rFonts w:ascii="微软雅黑" w:hAnsi="微软雅黑"/>
          <w:color w:val="0066CC"/>
          <w:sz w:val="21"/>
          <w:u w:val="single"/>
        </w:rPr>
        <w:t>血统图</w:t>
      </w:r>
      <w:r>
        <w:rPr>
          <w:rFonts w:ascii="微软雅黑" w:hAnsi="微软雅黑"/>
          <w:sz w:val="21"/>
        </w:rPr>
        <w:t>和/或</w:t>
      </w:r>
      <w:r>
        <w:rPr>
          <w:rFonts w:ascii="微软雅黑" w:hAnsi="微软雅黑"/>
          <w:color w:val="0066CC"/>
          <w:sz w:val="21"/>
          <w:u w:val="single"/>
        </w:rPr>
        <w:t>数据集购物车</w:t>
      </w:r>
      <w:r>
        <w:rPr>
          <w:rFonts w:ascii="微软雅黑" w:hAnsi="微软雅黑"/>
          <w:sz w:val="21"/>
        </w:rPr>
        <w:t>中，通过悬停在左侧面板中的数据集并点击</w:t>
      </w:r>
      <w:r>
        <w:rPr>
          <w:rFonts w:ascii="微软雅黑" w:hAnsi="微软雅黑"/>
          <w:b/>
          <w:sz w:val="21"/>
        </w:rPr>
        <w:t>添加到购物车和图</w:t>
      </w:r>
      <w:r>
        <w:rPr>
          <w:rFonts w:ascii="微软雅黑" w:hAnsi="微软雅黑"/>
          <w:sz w:val="21"/>
        </w:rPr>
        <w:t>或</w:t>
      </w:r>
      <w:r>
        <w:rPr>
          <w:rFonts w:ascii="微软雅黑" w:hAnsi="微软雅黑"/>
          <w:b/>
          <w:sz w:val="21"/>
        </w:rPr>
        <w:t>添加到图</w:t>
      </w:r>
      <w:r>
        <w:rPr>
          <w:rFonts w:ascii="微软雅黑" w:hAnsi="微软雅黑"/>
          <w:sz w:val="21"/>
        </w:rPr>
        <w:t>按钮。</w:t>
      </w:r>
    </w:p>
    <w:p>
      <w:pPr>
        <w:spacing w:line="360" w:lineRule="auto" w:after="120"/>
      </w:pPr>
      <w:r>
        <w:rPr>
          <w:rFonts w:ascii="微软雅黑" w:hAnsi="微软雅黑"/>
          <w:sz w:val="21"/>
        </w:rPr>
        <w:t>在面板顶部，您可以选择三种不同的模式。</w:t>
      </w:r>
    </w:p>
    <w:p>
      <w:pPr>
        <w:pStyle w:val="ListBullet"/>
        <w:spacing w:line="360" w:lineRule="auto" w:after="120"/>
      </w:pPr>
      <w:r>
        <w:rPr>
          <w:rFonts w:ascii="微软雅黑" w:hAnsi="微软雅黑"/>
          <w:b/>
          <w:sz w:val="21"/>
        </w:rPr>
        <w:t>全部</w:t>
      </w:r>
      <w:r>
        <w:rPr>
          <w:rFonts w:ascii="微软雅黑" w:hAnsi="微软雅黑"/>
          <w:sz w:val="21"/>
        </w:rPr>
        <w:t>。显示所有表格和类别。</w:t>
      </w:r>
    </w:p>
    <w:p>
      <w:pPr>
        <w:pStyle w:val="ListBullet"/>
        <w:spacing w:line="360" w:lineRule="auto" w:after="120"/>
      </w:pPr>
      <w:r>
        <w:rPr>
          <w:rFonts w:ascii="微软雅黑" w:hAnsi="微软雅黑"/>
          <w:b/>
          <w:sz w:val="21"/>
        </w:rPr>
        <w:t>图</w:t>
      </w:r>
      <w:r>
        <w:rPr>
          <w:rFonts w:ascii="微软雅黑" w:hAnsi="微软雅黑"/>
          <w:sz w:val="21"/>
        </w:rPr>
        <w:t>。显示图上的所有表格及其类别。</w:t>
      </w:r>
    </w:p>
    <w:p>
      <w:pPr>
        <w:pStyle w:val="ListBullet"/>
        <w:spacing w:line="360" w:lineRule="auto" w:after="120"/>
      </w:pPr>
      <w:r>
        <w:rPr>
          <w:rFonts w:ascii="微软雅黑" w:hAnsi="微软雅黑"/>
          <w:b/>
          <w:sz w:val="21"/>
        </w:rPr>
        <w:t>待同步</w:t>
      </w:r>
      <w:r>
        <w:rPr>
          <w:rFonts w:ascii="微软雅黑" w:hAnsi="微软雅黑"/>
          <w:sz w:val="21"/>
        </w:rPr>
        <w:t>。显示购物车中的所有表格及其类别。</w:t>
      </w:r>
    </w:p>
    <w:p>
      <w:r>
        <w:br w:type="page"/>
      </w:r>
    </w:p>
    <w:p>
      <w:pPr>
        <w:pStyle w:val="Heading1"/>
      </w:pPr>
      <w:r>
        <w:rPr>
          <w:rFonts w:ascii="微软雅黑" w:hAnsi="微软雅黑"/>
        </w:rPr>
        <w:t>从 HyperAuto V1 迁移到 V2</w:t>
      </w:r>
    </w:p>
    <w:p>
      <w:pPr>
        <w:spacing w:line="360" w:lineRule="auto" w:after="120"/>
      </w:pPr>
      <w:r>
        <w:rPr>
          <w:rFonts w:ascii="微软雅黑" w:hAnsi="微软雅黑"/>
          <w:sz w:val="21"/>
        </w:rPr>
        <w:t># 从 HyperAuto V1 迁移到 V2</w:t>
      </w:r>
    </w:p>
    <w:p>
      <w:pPr>
        <w:spacing w:line="360" w:lineRule="auto" w:after="120"/>
      </w:pPr>
      <w:r>
        <w:rPr>
          <w:rFonts w:ascii="微软雅黑" w:hAnsi="微软雅黑"/>
          <w:sz w:val="21"/>
        </w:rPr>
        <w:t>随着 HyperAuto V2 的全面可用，V1 将被</w:t>
      </w:r>
      <w:r>
        <w:rPr>
          <w:rFonts w:ascii="微软雅黑" w:hAnsi="微软雅黑"/>
          <w:color w:val="0066CC"/>
          <w:sz w:val="21"/>
          <w:u w:val="single"/>
        </w:rPr>
        <w:t>淘汰</w:t>
      </w:r>
      <w:r>
        <w:rPr>
          <w:rFonts w:ascii="微软雅黑" w:hAnsi="微软雅黑"/>
          <w:sz w:val="21"/>
        </w:rPr>
        <w:t>。不建议创建新的 V1 管道，在接下来的 12 个月内，用户应按照</w:t>
      </w:r>
      <w:r>
        <w:rPr>
          <w:rFonts w:ascii="微软雅黑" w:hAnsi="微软雅黑"/>
          <w:color w:val="0066CC"/>
          <w:sz w:val="21"/>
          <w:u w:val="single"/>
        </w:rPr>
        <w:t>下文</w:t>
      </w:r>
      <w:r>
        <w:rPr>
          <w:rFonts w:ascii="微软雅黑" w:hAnsi="微软雅黑"/>
          <w:sz w:val="21"/>
        </w:rPr>
        <w:t>所述，从 HyperAuto V1 迁移到 V2。HyperAuto V2 是对 HyperAuto V1 的重大升级，提供了增强的性能和功能，包括：</w:t>
      </w:r>
    </w:p>
    <w:p>
      <w:pPr>
        <w:pStyle w:val="ListBullet"/>
        <w:spacing w:line="360" w:lineRule="auto" w:after="120"/>
      </w:pPr>
      <w:r>
        <w:rPr>
          <w:rFonts w:ascii="微软雅黑" w:hAnsi="微软雅黑"/>
          <w:sz w:val="21"/>
        </w:rPr>
        <w:t>使用点击式向导进行更简单的配置过程。</w:t>
      </w:r>
    </w:p>
    <w:p>
      <w:pPr>
        <w:pStyle w:val="ListBullet"/>
        <w:spacing w:line="360" w:lineRule="auto" w:after="120"/>
      </w:pPr>
      <w:r>
        <w:rPr>
          <w:rFonts w:ascii="微软雅黑" w:hAnsi="微软雅黑"/>
          <w:sz w:val="21"/>
        </w:rPr>
        <w:t>生成</w:t>
      </w:r>
      <w:r>
        <w:rPr>
          <w:rFonts w:ascii="微软雅黑" w:hAnsi="微软雅黑"/>
          <w:color w:val="0066CC"/>
          <w:sz w:val="21"/>
          <w:u w:val="single"/>
        </w:rPr>
        <w:t>Pipeline Builder</w:t>
      </w:r>
      <w:r>
        <w:rPr>
          <w:rFonts w:ascii="微软雅黑" w:hAnsi="微软雅黑"/>
          <w:sz w:val="21"/>
        </w:rPr>
        <w:t>管道的能力，提供数据处理的完全透明度、全面的更改管理工作流以及显著的性能提升。</w:t>
      </w:r>
    </w:p>
    <w:p>
      <w:pPr>
        <w:pStyle w:val="ListBullet"/>
        <w:spacing w:line="360" w:lineRule="auto" w:after="120"/>
      </w:pPr>
      <w:r>
        <w:rPr>
          <w:rFonts w:ascii="微软雅黑" w:hAnsi="微软雅黑"/>
          <w:sz w:val="21"/>
        </w:rPr>
        <w:t>实时流式传输输入数据，支持时间关键的操作应用。</w:t>
      </w:r>
    </w:p>
    <w:p>
      <w:pPr>
        <w:pStyle w:val="Heading2"/>
      </w:pPr>
      <w:r>
        <w:rPr>
          <w:rFonts w:ascii="微软雅黑" w:hAnsi="微软雅黑"/>
        </w:rPr>
        <w:t>HyperAuto V1 和 V2 之间显著的功能差异</w:t>
      </w:r>
    </w:p>
    <w:p>
      <w:pPr>
        <w:spacing w:line="360" w:lineRule="auto" w:after="120"/>
      </w:pPr>
      <w:r>
        <w:rPr>
          <w:rFonts w:ascii="微软雅黑" w:hAnsi="微软雅黑"/>
          <w:sz w:val="21"/>
        </w:rPr>
        <w:t>下面描述了 HyperAuto V2 的重大更新和更改。</w:t>
      </w:r>
    </w:p>
    <w:p>
      <w:pPr>
        <w:pStyle w:val="Heading3"/>
      </w:pPr>
      <w:r>
        <w:rPr>
          <w:rFonts w:ascii="微软雅黑" w:hAnsi="微软雅黑"/>
        </w:rPr>
        <w:t>源类型支持</w:t>
      </w:r>
    </w:p>
    <w:p>
      <w:pPr>
        <w:spacing w:line="360" w:lineRule="auto" w:after="120"/>
      </w:pPr>
      <w:r>
        <w:rPr>
          <w:rFonts w:ascii="微软雅黑" w:hAnsi="微软雅黑"/>
          <w:sz w:val="21"/>
        </w:rPr>
        <w:t xml:space="preserve">截至 2024 年 4 月 29 日，HyperAuto V2 仅支持 </w:t>
      </w:r>
      <w:r>
        <w:rPr>
          <w:rFonts w:ascii="微软雅黑" w:hAnsi="微软雅黑"/>
          <w:b/>
          <w:sz w:val="21"/>
        </w:rPr>
        <w:t>SAP</w:t>
      </w:r>
      <w:r>
        <w:rPr>
          <w:rFonts w:ascii="微软雅黑" w:hAnsi="微软雅黑"/>
          <w:sz w:val="21"/>
        </w:rPr>
        <w:t xml:space="preserve"> 数据。强烈建议使用 V1 的 SAP 数据用户开始迁移到 V2（参见</w:t>
      </w:r>
      <w:r>
        <w:rPr>
          <w:rFonts w:ascii="微软雅黑" w:hAnsi="微软雅黑"/>
          <w:color w:val="0066CC"/>
          <w:sz w:val="21"/>
          <w:u w:val="single"/>
        </w:rPr>
        <w:t>入门</w:t>
      </w:r>
      <w:r>
        <w:rPr>
          <w:rFonts w:ascii="微软雅黑" w:hAnsi="微软雅黑"/>
          <w:sz w:val="21"/>
        </w:rPr>
        <w:t>）。</w:t>
      </w:r>
    </w:p>
    <w:p>
      <w:pPr>
        <w:pStyle w:val="Heading3"/>
      </w:pPr>
      <w:r>
        <w:rPr>
          <w:rFonts w:ascii="微软雅黑" w:hAnsi="微软雅黑"/>
        </w:rPr>
        <w:t>多源支持</w:t>
      </w:r>
    </w:p>
    <w:p>
      <w:pPr>
        <w:spacing w:line="360" w:lineRule="auto" w:after="120"/>
      </w:pPr>
      <w:r>
        <w:rPr>
          <w:rFonts w:ascii="微软雅黑" w:hAnsi="微软雅黑"/>
          <w:sz w:val="21"/>
        </w:rPr>
        <w:t xml:space="preserve">在 HyperAuto V1 中，用户可以将单个管道连接到多个源并在末尾执行广泛的合并。然而，这种方法可能会产生意外结果，现在已不再推荐。特别是，以 </w:t>
      </w:r>
      <w:r>
        <w:rPr>
          <w:rFonts w:ascii="Consolas" w:hAnsi="Consolas"/>
          <w:color w:val="B43C3C"/>
          <w:sz w:val="18"/>
        </w:rPr>
        <w:t>source</w:t>
      </w:r>
      <w:r>
        <w:rPr>
          <w:rFonts w:ascii="微软雅黑" w:hAnsi="微软雅黑"/>
          <w:sz w:val="21"/>
        </w:rPr>
        <w:t xml:space="preserve"> 作为前缀的主键和外键可能在发生源名称更改时会中断。</w:t>
      </w:r>
    </w:p>
    <w:p>
      <w:pPr>
        <w:spacing w:line="360" w:lineRule="auto" w:after="120"/>
      </w:pPr>
      <w:r>
        <w:rPr>
          <w:rFonts w:ascii="微软雅黑" w:hAnsi="微软雅黑"/>
          <w:sz w:val="21"/>
        </w:rPr>
        <w:t>在 HyperAuto V2 中，每个管道只能连接到一个源。因此，</w:t>
      </w:r>
      <w:r>
        <w:rPr>
          <w:rFonts w:ascii="Consolas" w:hAnsi="Consolas"/>
          <w:color w:val="B43C3C"/>
          <w:sz w:val="18"/>
        </w:rPr>
        <w:t>source</w:t>
      </w:r>
      <w:r>
        <w:rPr>
          <w:rFonts w:ascii="微软雅黑" w:hAnsi="微软雅黑"/>
          <w:sz w:val="21"/>
        </w:rPr>
        <w:t xml:space="preserve"> 列不会在输出数据集中生成，也不再用于主键或外键生成的前缀。</w:t>
      </w:r>
    </w:p>
    <w:p>
      <w:pPr>
        <w:spacing w:line="360" w:lineRule="auto" w:after="120"/>
      </w:pPr>
      <w:r>
        <w:rPr>
          <w:rFonts w:ascii="微软雅黑" w:hAnsi="微软雅黑"/>
          <w:sz w:val="21"/>
        </w:rPr>
        <w:t>需要此功能的用户建议在 HyperAuto V2 下游重新实现执行合并的管道。</w:t>
      </w:r>
    </w:p>
    <w:p>
      <w:pPr>
        <w:pStyle w:val="Heading3"/>
      </w:pPr>
      <w:r>
        <w:rPr>
          <w:rFonts w:ascii="微软雅黑" w:hAnsi="微软雅黑"/>
        </w:rPr>
        <w:t>外键生成</w:t>
      </w:r>
    </w:p>
    <w:p>
      <w:pPr>
        <w:spacing w:line="360" w:lineRule="auto" w:after="120"/>
      </w:pPr>
      <w:r>
        <w:rPr>
          <w:rFonts w:ascii="微软雅黑" w:hAnsi="微软雅黑"/>
          <w:sz w:val="21"/>
        </w:rPr>
        <w:t>HyperAuto V1 采用了一种宽松的外键生成方法，这通常导致在不准确反映底层数据关系的表之间创建外键，从而导致潜在的不准确性和误导性解释。</w:t>
      </w:r>
    </w:p>
    <w:p>
      <w:pPr>
        <w:spacing w:line="360" w:lineRule="auto" w:after="120"/>
      </w:pPr>
      <w:r>
        <w:rPr>
          <w:rFonts w:ascii="微软雅黑" w:hAnsi="微软雅黑"/>
          <w:sz w:val="21"/>
        </w:rPr>
        <w:t>HyperAuto V2 中生成键的逻辑已更新为使用更为保守的方法以提高准确性，因此外键列列表有所不同。如果您认为在 V2 中错误地省略了某个外键，请联系您的 Palantir 代表。</w:t>
      </w:r>
    </w:p>
    <w:p>
      <w:pPr>
        <w:pStyle w:val="Heading3"/>
      </w:pPr>
      <w:r>
        <w:rPr>
          <w:rFonts w:ascii="微软雅黑" w:hAnsi="微软雅黑"/>
        </w:rPr>
        <w:t>列重命名</w:t>
      </w:r>
    </w:p>
    <w:p>
      <w:pPr>
        <w:spacing w:line="360" w:lineRule="auto" w:after="120"/>
      </w:pPr>
      <w:r>
        <w:rPr>
          <w:rFonts w:ascii="微软雅黑" w:hAnsi="微软雅黑"/>
          <w:sz w:val="21"/>
        </w:rPr>
        <w:t>HyperAuto V2 使用更丰富的元数据来重命名列，这可能会在输出数据集中生成与 HyperAuto V1 不同的列名。</w:t>
      </w:r>
    </w:p>
    <w:p>
      <w:pPr>
        <w:pStyle w:val="Heading3"/>
      </w:pPr>
      <w:r>
        <w:rPr>
          <w:rFonts w:ascii="微软雅黑" w:hAnsi="微软雅黑"/>
        </w:rPr>
        <w:t>自定义清洗函数</w:t>
      </w:r>
    </w:p>
    <w:p>
      <w:pPr>
        <w:spacing w:line="360" w:lineRule="auto" w:after="120"/>
      </w:pPr>
      <w:r>
        <w:rPr>
          <w:rFonts w:ascii="微软雅黑" w:hAnsi="微软雅黑"/>
          <w:sz w:val="21"/>
        </w:rPr>
        <w:t>HyperAuto V2 不支持在管道中应用自定义清洗函数的实现。建议用户在 HyperAuto 的下游创建管道以实现其自定义逻辑。</w:t>
      </w:r>
    </w:p>
    <w:p>
      <w:pPr>
        <w:pStyle w:val="Heading3"/>
      </w:pPr>
      <w:r>
        <w:rPr>
          <w:rFonts w:ascii="微软雅黑" w:hAnsi="微软雅黑"/>
        </w:rPr>
        <w:t>输入的批量合并</w:t>
      </w:r>
    </w:p>
    <w:p>
      <w:pPr>
        <w:spacing w:line="360" w:lineRule="auto" w:after="120"/>
      </w:pPr>
      <w:r>
        <w:rPr>
          <w:rFonts w:ascii="微软雅黑" w:hAnsi="微软雅黑"/>
          <w:sz w:val="21"/>
        </w:rPr>
        <w:t>HyperAuto V2 不支持配置多个同步链接到相同输出表（在 V1 中称为</w:t>
      </w:r>
      <w:r>
        <w:rPr>
          <w:rFonts w:ascii="微软雅黑" w:hAnsi="微软雅黑"/>
          <w:color w:val="0066CC"/>
          <w:sz w:val="21"/>
          <w:u w:val="single"/>
        </w:rPr>
        <w:t>批量合并组件</w:t>
      </w:r>
      <w:r>
        <w:rPr>
          <w:rFonts w:ascii="微软雅黑" w:hAnsi="微软雅黑"/>
          <w:sz w:val="21"/>
        </w:rPr>
        <w:t>）。建议用户在 HyperAuto V2 *之前*合并其输入，然后配置一个</w:t>
      </w:r>
      <w:r>
        <w:rPr>
          <w:rFonts w:ascii="微软雅黑" w:hAnsi="微软雅黑"/>
          <w:color w:val="0066CC"/>
          <w:sz w:val="21"/>
          <w:u w:val="single"/>
        </w:rPr>
        <w:t>基于文件夹的管道</w:t>
      </w:r>
      <w:r>
        <w:rPr>
          <w:rFonts w:ascii="微软雅黑" w:hAnsi="微软雅黑"/>
          <w:sz w:val="21"/>
        </w:rPr>
        <w:t>从 HyperAuto 消费。</w:t>
      </w:r>
    </w:p>
    <w:p>
      <w:pPr>
        <w:pStyle w:val="Heading2"/>
      </w:pPr>
      <w:r>
        <w:rPr>
          <w:rFonts w:ascii="微软雅黑" w:hAnsi="微软雅黑"/>
        </w:rPr>
        <w:t>将现有的 HyperAuto V1 管道迁移到 HyperAuto V2</w:t>
      </w:r>
    </w:p>
    <w:p>
      <w:pPr>
        <w:spacing w:line="360" w:lineRule="auto" w:after="120"/>
      </w:pPr>
      <w:r>
        <w:rPr>
          <w:rFonts w:ascii="微软雅黑" w:hAnsi="微软雅黑"/>
          <w:sz w:val="21"/>
        </w:rPr>
        <w:t>建议用户通过以下步骤逐步将其管道从 HyperAuto V1 迁移到 V2：</w:t>
      </w:r>
    </w:p>
    <w:p>
      <w:pPr>
        <w:pStyle w:val="ListNumber"/>
        <w:spacing w:line="360" w:lineRule="auto" w:after="120"/>
      </w:pPr>
      <w:r>
        <w:rPr>
          <w:rFonts w:ascii="微软雅黑" w:hAnsi="微软雅黑"/>
          <w:sz w:val="21"/>
        </w:rPr>
        <w:t>创建一个新的 HyperAuto V2 管道，以复制现有的 V1 配置并消费相同的输入。</w:t>
      </w:r>
    </w:p>
    <w:p>
      <w:pPr>
        <w:pStyle w:val="ListNumber"/>
        <w:spacing w:line="360" w:lineRule="auto" w:after="120"/>
      </w:pPr>
      <w:r>
        <w:rPr>
          <w:rFonts w:ascii="微软雅黑" w:hAnsi="微软雅黑"/>
          <w:sz w:val="21"/>
        </w:rPr>
        <w:t>识别管道的下游消费者（存储库、分析、应用程序）并逐步将其指向新的 HyperAuto V2 输出。</w:t>
      </w:r>
    </w:p>
    <w:p>
      <w:pPr>
        <w:spacing w:line="360" w:lineRule="auto" w:after="120"/>
      </w:pPr>
      <w:r>
        <w:rPr>
          <w:rFonts w:ascii="微软雅黑" w:hAnsi="微软雅黑"/>
          <w:sz w:val="21"/>
        </w:rPr>
        <w:t>在决定*不*迁移到 HyperAuto V2 的情况下，现有的 V1 存储库将保持原样，但与原始模板“断开”。这意味着存储库将被转换为常规 Python 变换存储库，并将由用户拥有，就像任何其他自定义存储库一样。</w:t>
      </w:r>
    </w:p>
    <w:p>
      <w:pPr>
        <w:spacing w:line="360" w:lineRule="auto" w:after="120"/>
      </w:pPr>
      <w:r>
        <w:rPr>
          <w:rFonts w:ascii="微软雅黑" w:hAnsi="微软雅黑"/>
          <w:sz w:val="21"/>
        </w:rPr>
        <w:t>在将 HyperAuto V1 存储库与原始模板断开后，</w:t>
      </w:r>
      <w:r>
        <w:rPr>
          <w:rFonts w:ascii="微软雅黑" w:hAnsi="微软雅黑"/>
          <w:color w:val="0066CC"/>
          <w:sz w:val="21"/>
          <w:u w:val="single"/>
        </w:rPr>
        <w:t>自动拉取请求创建过程</w:t>
      </w:r>
      <w:r>
        <w:rPr>
          <w:rFonts w:ascii="微软雅黑" w:hAnsi="微软雅黑"/>
          <w:sz w:val="21"/>
        </w:rPr>
        <w:t>将被终止，用户将必须手动创建拉取请求以更新其 V1 配置。</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