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003366"/>
          <w:sz w:val="64"/>
        </w:rPr>
        <w:t>transforms-common</w:t>
      </w:r>
    </w:p>
    <w:p>
      <w:pPr>
        <w:jc w:val="center"/>
      </w:pPr>
      <w:r>
        <w:rPr>
          <w:rFonts w:ascii="微软雅黑" w:hAnsi="微软雅黑"/>
          <w:color w:val="505050"/>
          <w:sz w:val="48"/>
        </w:rPr>
        <w:t>Transforms Common</w:t>
      </w:r>
    </w:p>
    <w:p/>
    <w:p/>
    <w:p>
      <w:pPr>
        <w:jc w:val="center"/>
      </w:pPr>
      <w:r>
        <w:rPr>
          <w:rFonts w:ascii="微软雅黑" w:hAnsi="微软雅黑"/>
          <w:color w:val="646464"/>
          <w:sz w:val="28"/>
        </w:rPr>
        <w:t>Palantir Foundry Transforms Common 完整参考文档</w:t>
      </w:r>
    </w:p>
    <w:p/>
    <w:p>
      <w:pPr>
        <w:jc w:val="center"/>
      </w:pPr>
      <w:r>
        <w:rPr>
          <w:rFonts w:ascii="微软雅黑" w:hAnsi="微软雅黑"/>
          <w:color w:val="969696"/>
          <w:sz w:val="22"/>
        </w:rPr>
        <w:t>基于 Palantir Foundry 官方文档整理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微软雅黑" w:hAnsi="微软雅黑"/>
          <w:sz w:val="22"/>
        </w:rPr>
        <w:t>在本地开发中预览变换</w:t>
      </w:r>
    </w:p>
    <w:p>
      <w:pPr>
        <w:spacing w:after="80"/>
      </w:pPr>
      <w:r>
        <w:rPr>
          <w:rFonts w:ascii="微软雅黑" w:hAnsi="微软雅黑"/>
          <w:sz w:val="22"/>
        </w:rPr>
        <w:t>变换版本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在本地开发中预览变换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在本地开发中预览变换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在使用VS Code进行本地开发中预览变换有两种主要方法：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使用适用于Visual Studio Code的Palantir扩展（Beta版）预览变换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使用基于Gradle的本地预览</w:t>
      </w:r>
    </w:p>
    <w:p>
      <w:pPr>
        <w:pStyle w:val="Heading2"/>
      </w:pPr>
      <w:r>
        <w:rPr>
          <w:rFonts w:ascii="微软雅黑" w:hAnsi="微软雅黑"/>
        </w:rPr>
        <w:t>使用适用于Visual Studio Code的Palantir扩展（Beta版）进行预览（仅限Python）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适用于Visual Studio Code的Palantir扩展支持本地预览功能。有关安装说明，请参阅</w:t>
      </w:r>
      <w:r>
        <w:rPr>
          <w:rFonts w:ascii="微软雅黑" w:hAnsi="微软雅黑"/>
          <w:color w:val="0066CC"/>
          <w:sz w:val="21"/>
          <w:u w:val="single"/>
        </w:rPr>
        <w:t>扩展文档</w:t>
      </w:r>
      <w:r>
        <w:rPr>
          <w:rFonts w:ascii="微软雅黑" w:hAnsi="微软雅黑"/>
          <w:sz w:val="21"/>
        </w:rPr>
        <w:t>。一旦扩展安装完成并且环境已准备好进行预览，您的变换应自动在</w:t>
      </w:r>
      <w:r>
        <w:rPr>
          <w:rFonts w:ascii="微软雅黑" w:hAnsi="微软雅黑"/>
          <w:b/>
          <w:sz w:val="21"/>
        </w:rPr>
        <w:t>预览</w:t>
      </w:r>
      <w:r>
        <w:rPr>
          <w:rFonts w:ascii="微软雅黑" w:hAnsi="微软雅黑"/>
          <w:sz w:val="21"/>
        </w:rPr>
        <w:t>选项卡中被发现，如下所示。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图：在Visual Studio Code扩展中Python变换库的预览功能。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70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transforms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0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/>
        </w:rPr>
        <w:t>基于Gradle的Java和Python本地预览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本节详细介绍了在本地开发中预览Python和Java变换所需的步骤。有关更多背景信息，请查看我们的</w:t>
      </w:r>
      <w:r>
        <w:rPr>
          <w:rFonts w:ascii="微软雅黑" w:hAnsi="微软雅黑"/>
          <w:color w:val="0066CC"/>
          <w:sz w:val="21"/>
          <w:u w:val="single"/>
        </w:rPr>
        <w:t>Python本地开发</w:t>
      </w:r>
      <w:r>
        <w:rPr>
          <w:rFonts w:ascii="微软雅黑" w:hAnsi="微软雅黑"/>
          <w:sz w:val="21"/>
        </w:rPr>
        <w:t>和</w:t>
      </w:r>
      <w:r>
        <w:rPr>
          <w:rFonts w:ascii="微软雅黑" w:hAnsi="微软雅黑"/>
          <w:color w:val="0066CC"/>
          <w:sz w:val="21"/>
          <w:u w:val="single"/>
        </w:rPr>
        <w:t>Java本地开发</w:t>
      </w:r>
      <w:r>
        <w:rPr>
          <w:rFonts w:ascii="微软雅黑" w:hAnsi="微软雅黑"/>
          <w:sz w:val="21"/>
        </w:rPr>
        <w:t>文档。您还可以了解更多关于</w:t>
      </w:r>
      <w:r>
        <w:rPr>
          <w:rFonts w:ascii="微软雅黑" w:hAnsi="微软雅黑"/>
          <w:color w:val="0066CC"/>
          <w:sz w:val="21"/>
          <w:u w:val="single"/>
        </w:rPr>
        <w:t>如何预览变换</w:t>
      </w:r>
      <w:r>
        <w:rPr>
          <w:rFonts w:ascii="微软雅黑" w:hAnsi="微软雅黑"/>
          <w:sz w:val="21"/>
        </w:rPr>
        <w:t>。</w:t>
      </w:r>
    </w:p>
    <w:p>
      <w:pPr>
        <w:pStyle w:val="Heading3"/>
      </w:pPr>
      <w:r>
        <w:rPr>
          <w:rFonts w:ascii="微软雅黑" w:hAnsi="微软雅黑"/>
        </w:rPr>
        <w:t>先决条件和限制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本地预览支持要求本地分支必须跟踪远程分支，因此本地分支至少需要被推送一次，除了现有的本地开发先决条件外。请注意以下附加限制：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预览URI只能由运行预览的用户访问，并且仅在临时基础上可用。</w:t>
      </w:r>
    </w:p>
    <w:p>
      <w:pPr>
        <w:pStyle w:val="Heading3"/>
      </w:pPr>
      <w:r>
        <w:rPr>
          <w:rFonts w:ascii="微软雅黑" w:hAnsi="微软雅黑"/>
        </w:rPr>
        <w:t>运行数据集预览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在运行预览之前，必须为本地开发设置环境，并确保您的库已</w:t>
      </w:r>
      <w:r>
        <w:rPr>
          <w:rFonts w:ascii="微软雅黑" w:hAnsi="微软雅黑"/>
          <w:color w:val="0066CC"/>
          <w:sz w:val="21"/>
          <w:u w:val="single"/>
        </w:rPr>
        <w:t>升级到最新的模板版本</w:t>
      </w:r>
      <w:r>
        <w:rPr>
          <w:rFonts w:ascii="微软雅黑" w:hAnsi="微软雅黑"/>
          <w:sz w:val="21"/>
        </w:rPr>
        <w:t>。</w:t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运行</w:t>
      </w:r>
      <w:r>
        <w:rPr>
          <w:rFonts w:ascii="Consolas" w:hAnsi="Consolas"/>
          <w:color w:val="B43C3C"/>
          <w:sz w:val="18"/>
        </w:rPr>
        <w:t>./gradlew displayTransformsList</w:t>
      </w:r>
      <w:r>
        <w:rPr>
          <w:rFonts w:ascii="微软雅黑" w:hAnsi="微软雅黑"/>
          <w:sz w:val="21"/>
        </w:rPr>
        <w:t>，这将返回所有可用变换的列表。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图：使用datasetPreview任务列出所有可用变换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06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transform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0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运行</w:t>
      </w:r>
      <w:r>
        <w:rPr>
          <w:rFonts w:ascii="Consolas" w:hAnsi="Consolas"/>
          <w:color w:val="B43C3C"/>
          <w:sz w:val="18"/>
        </w:rPr>
        <w:t>./gradlew datasetPreview --transformId=&lt;transformId&gt;</w:t>
      </w:r>
      <w:r>
        <w:rPr>
          <w:rFonts w:ascii="微软雅黑" w:hAnsi="微软雅黑"/>
          <w:sz w:val="21"/>
        </w:rPr>
        <w:t>，将</w:t>
      </w:r>
      <w:r>
        <w:rPr>
          <w:rFonts w:ascii="Consolas" w:hAnsi="Consolas"/>
          <w:color w:val="B43C3C"/>
          <w:sz w:val="18"/>
        </w:rPr>
        <w:t>&lt;transformId&gt;</w:t>
      </w:r>
      <w:r>
        <w:rPr>
          <w:rFonts w:ascii="微软雅黑" w:hAnsi="微软雅黑"/>
          <w:sz w:val="21"/>
        </w:rPr>
        <w:t>替换为其中一个变换ID（上图中的蓝色文本），这将返回一个链接到Foundry，在那里可以访问已经计算的预览。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图：使用datasetPreview任务运行预览并获取Foundry链接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33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-preview-result-in-terminal-as-u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46464"/>
          <w:sz w:val="18"/>
        </w:rPr>
        <w:t>图：在Foundry中预计算的数据集预览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86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-preview-result-in-found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6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（非必填）在上述命令中添加</w:t>
      </w:r>
      <w:r>
        <w:rPr>
          <w:rFonts w:ascii="Consolas" w:hAnsi="Consolas"/>
          <w:color w:val="B43C3C"/>
          <w:sz w:val="18"/>
        </w:rPr>
        <w:t>--printMode=table</w:t>
      </w:r>
      <w:r>
        <w:rPr>
          <w:rFonts w:ascii="微软雅黑" w:hAnsi="微软雅黑"/>
          <w:sz w:val="21"/>
        </w:rPr>
        <w:t>标志，以在终端中直接打印所有预览数据集的前10行，而不是提供预览链接。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图：使用datasetPreview任务运行预览并打印到终端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383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-preview-result-in-terminal-as-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（非必填）要在预览中包含输入文件，请添加</w:t>
      </w:r>
      <w:r>
        <w:rPr>
          <w:rFonts w:ascii="Consolas" w:hAnsi="Consolas"/>
          <w:color w:val="B43C3C"/>
          <w:sz w:val="18"/>
        </w:rPr>
        <w:t>--inputFiles=&lt;datasetAlias&gt;:&lt;path&gt;</w:t>
      </w:r>
      <w:r>
        <w:rPr>
          <w:rFonts w:ascii="微软雅黑" w:hAnsi="微软雅黑"/>
          <w:sz w:val="21"/>
        </w:rPr>
        <w:t>，其中</w:t>
      </w:r>
      <w:r>
        <w:rPr>
          <w:rFonts w:ascii="Consolas" w:hAnsi="Consolas"/>
          <w:color w:val="B43C3C"/>
          <w:sz w:val="18"/>
        </w:rPr>
        <w:t>&lt;datasetAlias&gt;</w:t>
      </w:r>
      <w:r>
        <w:rPr>
          <w:rFonts w:ascii="微软雅黑" w:hAnsi="微软雅黑"/>
          <w:sz w:val="21"/>
        </w:rPr>
        <w:t>是所选变换函数的输入数据集之一，</w:t>
      </w:r>
      <w:r>
        <w:rPr>
          <w:rFonts w:ascii="Consolas" w:hAnsi="Consolas"/>
          <w:color w:val="B43C3C"/>
          <w:sz w:val="18"/>
        </w:rPr>
        <w:t>&lt;path&gt;</w:t>
      </w:r>
      <w:r>
        <w:rPr>
          <w:rFonts w:ascii="微软雅黑" w:hAnsi="微软雅黑"/>
          <w:sz w:val="21"/>
        </w:rPr>
        <w:t>是输入数据集内的文件路径。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图：使用输入文件参数包含数据集的文件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8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-preview-file-input-argu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line="360" w:lineRule="auto" w:after="120"/>
      </w:pPr>
      <w:r>
        <w:rPr>
          <w:rFonts w:ascii="微软雅黑" w:hAnsi="微软雅黑"/>
          <w:sz w:val="21"/>
        </w:rPr>
        <w:t>（非必填）要在预览中包含输出文件，请添加</w:t>
      </w:r>
      <w:r>
        <w:rPr>
          <w:rFonts w:ascii="Consolas" w:hAnsi="Consolas"/>
          <w:color w:val="B43C3C"/>
          <w:sz w:val="18"/>
        </w:rPr>
        <w:t>--outputFiles=&lt;datasetAlias&gt;:&lt;path&gt;</w:t>
      </w:r>
      <w:r>
        <w:rPr>
          <w:rFonts w:ascii="微软雅黑" w:hAnsi="微软雅黑"/>
          <w:sz w:val="21"/>
        </w:rPr>
        <w:t>，其中</w:t>
      </w:r>
      <w:r>
        <w:rPr>
          <w:rFonts w:ascii="Consolas" w:hAnsi="Consolas"/>
          <w:color w:val="B43C3C"/>
          <w:sz w:val="18"/>
        </w:rPr>
        <w:t>&lt;datasetAlias&gt;</w:t>
      </w:r>
      <w:r>
        <w:rPr>
          <w:rFonts w:ascii="微软雅黑" w:hAnsi="微软雅黑"/>
          <w:sz w:val="21"/>
        </w:rPr>
        <w:t>是所选变换函数的输出数据集之一，</w:t>
      </w:r>
      <w:r>
        <w:rPr>
          <w:rFonts w:ascii="Consolas" w:hAnsi="Consolas"/>
          <w:color w:val="B43C3C"/>
          <w:sz w:val="18"/>
        </w:rPr>
        <w:t>&lt;path&gt;</w:t>
      </w:r>
      <w:r>
        <w:rPr>
          <w:rFonts w:ascii="微软雅黑" w:hAnsi="微软雅黑"/>
          <w:sz w:val="21"/>
        </w:rPr>
        <w:t>是输出数据集内的文件路径。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图：使用输出文件参数包含数据集的文件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975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-preview-file-output-argu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变换版本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变换版本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在变换中，使用的Spark和Java版本取决于搭建过程中变换的版本。变换会在后台自动升级，以确保任务始终与最新的安全性和性能改进保持一致。根据</w:t>
      </w:r>
      <w:r>
        <w:rPr>
          <w:rFonts w:ascii="微软雅黑" w:hAnsi="微软雅黑"/>
          <w:color w:val="0066CC"/>
          <w:sz w:val="21"/>
          <w:u w:val="single"/>
        </w:rPr>
        <w:t>Spark版本政策 ↗</w:t>
      </w:r>
      <w:r>
        <w:rPr>
          <w:rFonts w:ascii="微软雅黑" w:hAnsi="微软雅黑"/>
          <w:sz w:val="21"/>
        </w:rPr>
        <w:t>，API在版本之间保持一致，并启用旧版配置以防止行为变化。这些配置在</w:t>
      </w:r>
      <w:r>
        <w:rPr>
          <w:rFonts w:ascii="微软雅黑" w:hAnsi="微软雅黑"/>
          <w:color w:val="0066CC"/>
          <w:sz w:val="21"/>
          <w:u w:val="single"/>
        </w:rPr>
        <w:t>Spark迁移指南 ↗</w:t>
      </w:r>
      <w:r>
        <w:rPr>
          <w:rFonts w:ascii="微软雅黑" w:hAnsi="微软雅黑"/>
          <w:sz w:val="21"/>
        </w:rPr>
        <w:t>中有记录。</w:t>
      </w:r>
    </w:p>
    <w:p>
      <w:pPr>
        <w:pStyle w:val="Heading2"/>
      </w:pPr>
      <w:r>
        <w:rPr>
          <w:rFonts w:ascii="微软雅黑" w:hAnsi="微软雅黑"/>
        </w:rPr>
        <w:t>发布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使用的版本在下表中列出。</w:t>
      </w:r>
    </w:p>
    <w:p>
      <w:pPr>
        <w:pStyle w:val="Heading3"/>
      </w:pPr>
      <w:r>
        <w:rPr>
          <w:rFonts w:ascii="微软雅黑" w:hAnsi="微软雅黑"/>
        </w:rPr>
        <w:t>Python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变换版本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Spark版本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Java版本</w:t>
            </w:r>
          </w:p>
        </w:tc>
      </w:tr>
      <w:tr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1.1048.0+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3.4.1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17</w:t>
            </w:r>
          </w:p>
        </w:tc>
      </w:tr>
      <w:tr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2.0.0+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3.5.1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17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Java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变换版本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Spark版本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Java版本</w:t>
            </w:r>
          </w:p>
        </w:tc>
      </w:tr>
      <w:tr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1.1015.0+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3.4.1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17</w:t>
            </w:r>
          </w:p>
        </w:tc>
      </w:tr>
      <w:tr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2.0.0+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3.5.1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17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SQL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变换版本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Spark版本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Java版本</w:t>
            </w:r>
          </w:p>
        </w:tc>
      </w:tr>
      <w:tr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1.861.0+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3.4.1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17</w:t>
            </w:r>
          </w:p>
        </w:tc>
      </w:tr>
      <w:tr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2.0.0+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3.5.1</w:t>
            </w:r>
          </w:p>
        </w:tc>
        <w:tc>
          <w:tcPr>
            <w:tcW w:type="dxa" w:w="2967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17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环境页面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环境页面可以从任务追踪器中通过选择</w:t>
      </w:r>
      <w:r>
        <w:rPr>
          <w:rFonts w:ascii="微软雅黑" w:hAnsi="微软雅黑"/>
          <w:b/>
          <w:sz w:val="21"/>
        </w:rPr>
        <w:t>Spark Details &gt; Environment</w:t>
      </w:r>
      <w:r>
        <w:rPr>
          <w:rFonts w:ascii="微软雅黑" w:hAnsi="微软雅黑"/>
          <w:sz w:val="21"/>
        </w:rPr>
        <w:t>访问。在这里，您可以看到搭建的关键配置详情，包括变换和Spark版本。</w:t>
      </w:r>
    </w:p>
    <w:p>
      <w:pPr>
        <w:spacing w:line="360" w:lineRule="auto" w:after="120"/>
      </w:pPr>
      <w:r>
        <w:rPr>
          <w:rFonts w:ascii="Consolas" w:hAnsi="Consolas"/>
          <w:color w:val="B43C3C"/>
          <w:sz w:val="18"/>
        </w:rPr>
        <w:t>sparkModuleVersion</w:t>
      </w:r>
      <w:r>
        <w:rPr>
          <w:rFonts w:ascii="微软雅黑" w:hAnsi="微软雅黑"/>
          <w:sz w:val="21"/>
        </w:rPr>
        <w:t>对应于变换版本，</w:t>
      </w:r>
      <w:r>
        <w:rPr>
          <w:rFonts w:ascii="Consolas" w:hAnsi="Consolas"/>
          <w:color w:val="B43C3C"/>
          <w:sz w:val="18"/>
        </w:rPr>
        <w:t>sparkVersion</w:t>
      </w:r>
      <w:r>
        <w:rPr>
          <w:rFonts w:ascii="微软雅黑" w:hAnsi="微软雅黑"/>
          <w:sz w:val="21"/>
        </w:rPr>
        <w:t>对应于搭建中使用的Spark版本。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图：在环境页面查看变换和spark版本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3334908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-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908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/>
        </w:rPr>
        <w:t>运行时版本控制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每次运行搭建时都会选择一个变换的运行时版本。一个称为“裁定”的系统用于确保您的搭建不会升级到一个不再有效的版本；裁定过程有选择地测试升级，并在必要时回退到旧版本。当有新的Spark版本出现时，它将被自动测试并在可行的情况下在您的管道中实现，无需用户干预。如果升级不成功，您的管道将继续在旧的Spark版本上运行。每次Spark版本升级将与</w:t>
      </w:r>
      <w:r>
        <w:rPr>
          <w:rFonts w:ascii="微软雅黑" w:hAnsi="微软雅黑"/>
          <w:color w:val="0066CC"/>
          <w:sz w:val="21"/>
          <w:u w:val="single"/>
        </w:rPr>
        <w:t>公告</w:t>
      </w:r>
      <w:r>
        <w:rPr>
          <w:rFonts w:ascii="微软雅黑" w:hAnsi="微软雅黑"/>
          <w:sz w:val="21"/>
        </w:rPr>
        <w:t>一起发布。要暂时停留在现有的Spark版本上，请使用</w:t>
      </w:r>
      <w:r>
        <w:rPr>
          <w:rFonts w:ascii="微软雅黑" w:hAnsi="微软雅黑"/>
          <w:color w:val="0066CC"/>
          <w:sz w:val="21"/>
          <w:u w:val="single"/>
        </w:rPr>
        <w:t>模块固定</w:t>
      </w:r>
      <w:r>
        <w:rPr>
          <w:rFonts w:ascii="微软雅黑" w:hAnsi="微软雅黑"/>
          <w:sz w:val="21"/>
        </w:rPr>
        <w:t>将管道固定到一个固定的版本。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在运行时版本发布大约一个月后，将发送仓库升级提示以通知用户无法自动升级的问题。您应该能够根据仓库中的检查出错来调试这些情况。</w:t>
      </w:r>
    </w:p>
    <w:p>
      <w:pPr>
        <w:pStyle w:val="Heading2"/>
      </w:pPr>
      <w:r>
        <w:rPr>
          <w:rFonts w:ascii="微软雅黑" w:hAnsi="微软雅黑"/>
        </w:rPr>
        <w:t>调试任务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如果您怀疑变换升级导致管道中断，请使用调试任务诊断问题。在失败的任务上，选择</w:t>
      </w:r>
      <w:r>
        <w:rPr>
          <w:rFonts w:ascii="微软雅黑" w:hAnsi="微软雅黑"/>
          <w:b/>
          <w:sz w:val="21"/>
        </w:rPr>
        <w:t>操作</w:t>
      </w:r>
      <w:r>
        <w:rPr>
          <w:rFonts w:ascii="微软雅黑" w:hAnsi="微软雅黑"/>
          <w:sz w:val="21"/>
        </w:rPr>
        <w:t>和</w:t>
      </w:r>
      <w:r>
        <w:rPr>
          <w:rFonts w:ascii="微软雅黑" w:hAnsi="微软雅黑"/>
          <w:b/>
          <w:sz w:val="21"/>
        </w:rPr>
        <w:t>重新运行为调试任务</w:t>
      </w:r>
      <w:r>
        <w:rPr>
          <w:rFonts w:ascii="微软雅黑" w:hAnsi="微软雅黑"/>
          <w:sz w:val="21"/>
        </w:rPr>
        <w:t>以指定一个先前成功的版本，并确认变换版本的更改是导致中断的原因。如果遇到变换升级破坏管道的情况，请联系Palantir客服支持以获得进一步帮助。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图：在设定版本上运行调试任务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989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ug-jo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8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6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05A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