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4338E">
      <w:pPr>
        <w:pStyle w:val="26"/>
      </w:pPr>
      <w:r>
        <w:rPr>
          <w:rFonts w:ascii="Arial Unicode MS" w:hAnsi="Arial Unicode MS" w:eastAsia="Arial Unicode MS" w:cs="Arial Unicode MS"/>
        </w:rPr>
        <w:t>AI赋能·产教融合</w:t>
      </w:r>
    </w:p>
    <w:p w14:paraId="0A1EA7DD">
      <w:pPr>
        <w:pStyle w:val="31"/>
      </w:pPr>
      <w:r>
        <w:rPr>
          <w:rFonts w:ascii="Arial Unicode MS" w:hAnsi="Arial Unicode MS" w:eastAsia="Arial Unicode MS" w:cs="Arial Unicode MS"/>
        </w:rPr>
        <w:t>“匠学·图纸助教”核心能力与产学研应用</w:t>
      </w:r>
    </w:p>
    <w:p w14:paraId="51D36D6F">
      <w:pPr>
        <w:spacing w:after="60" w:line="260" w:lineRule="exact"/>
      </w:pPr>
      <w:r>
        <w:rPr>
          <w:rFonts w:ascii="Arial Unicode MS" w:hAnsi="Arial Unicode MS" w:eastAsia="Arial Unicode MS" w:cs="Arial Unicode MS"/>
          <w:b/>
          <w:sz w:val="20"/>
        </w:rPr>
        <w:t>看清、看懂、能评判，讲得明白为什么这样画、应该怎样改。</w:t>
      </w:r>
    </w:p>
    <w:p w14:paraId="70EE1CBC">
      <w:pPr>
        <w:spacing w:after="60" w:line="260" w:lineRule="exact"/>
      </w:pPr>
      <w:r>
        <w:rPr>
          <w:rFonts w:ascii="Arial Unicode MS" w:hAnsi="Arial Unicode MS" w:eastAsia="Arial Unicode MS" w:cs="Arial Unicode MS"/>
          <w:b w:val="0"/>
          <w:sz w:val="20"/>
        </w:rPr>
        <w:t>产品追求的使用体验，是像一位经验丰富的老师傅：对着具体图纸看问题，联系结构、规范和制造要求讲道理，带着使用者把事情做好。</w:t>
      </w:r>
    </w:p>
    <w:p w14:paraId="5A5A8122">
      <w:pPr>
        <w:spacing w:after="60" w:line="260" w:lineRule="exact"/>
      </w:pPr>
      <w:r>
        <w:rPr>
          <w:rFonts w:ascii="Arial Unicode MS" w:hAnsi="Arial Unicode MS" w:eastAsia="Arial Unicode MS" w:cs="Arial Unicode MS"/>
          <w:b w:val="0"/>
          <w:sz w:val="20"/>
        </w:rPr>
        <w:t>面向机械工程图纸的AI审查、专业解释与学习指导产品</w:t>
      </w:r>
    </w:p>
    <w:p w14:paraId="14D84EF7">
      <w:pPr>
        <w:spacing w:after="60" w:line="260" w:lineRule="exact"/>
      </w:pPr>
      <w:r>
        <w:rPr>
          <w:rFonts w:ascii="Arial Unicode MS" w:hAnsi="Arial Unicode MS" w:eastAsia="Arial Unicode MS" w:cs="Arial Unicode MS"/>
          <w:b w:val="0"/>
          <w:sz w:val="20"/>
        </w:rPr>
        <w:t>适用场景：《CAD制图》教学、企业任务实训、企业制图评审与产学研协同</w:t>
      </w:r>
    </w:p>
    <w:p w14:paraId="5D25F0EE">
      <w:pPr>
        <w:spacing w:after="60" w:line="260" w:lineRule="exact"/>
      </w:pPr>
      <w:r>
        <w:rPr>
          <w:rFonts w:ascii="Arial Unicode MS" w:hAnsi="Arial Unicode MS" w:eastAsia="Arial Unicode MS" w:cs="Arial Unicode MS"/>
          <w:b w:val="0"/>
          <w:sz w:val="20"/>
        </w:rPr>
        <w:t>材料用途：客户及投资人交流、教学竞赛产品介绍</w:t>
      </w:r>
    </w:p>
    <w:p w14:paraId="1B68F221">
      <w:pPr>
        <w:spacing w:after="100" w:line="240" w:lineRule="exact"/>
      </w:pPr>
      <w:r>
        <w:rPr>
          <w:rFonts w:ascii="Arial Unicode MS" w:hAnsi="Arial Unicode MS" w:eastAsia="Arial Unicode MS" w:cs="Arial Unicode MS"/>
          <w:b w:val="0"/>
          <w:sz w:val="18"/>
        </w:rPr>
        <w:t>“匠学·图纸助教”为</w:t>
      </w:r>
      <w:r>
        <w:rPr>
          <w:rFonts w:hint="eastAsia" w:cs="Arial Unicode MS"/>
          <w:b w:val="0"/>
          <w:sz w:val="18"/>
          <w:lang w:val="en-US" w:eastAsia="zh-CN"/>
        </w:rPr>
        <w:t>项目</w:t>
      </w:r>
      <w:r>
        <w:rPr>
          <w:rFonts w:ascii="Arial Unicode MS" w:hAnsi="Arial Unicode MS" w:eastAsia="Arial Unicode MS" w:cs="Arial Unicode MS"/>
          <w:b w:val="0"/>
          <w:sz w:val="18"/>
        </w:rPr>
        <w:t>脱敏暂名。本稿公开介绍产品能力、应用价值和使用方法，不披露真实技术实现、内部实验数据或客户信息。本文统一描述产品能力与使用方式。</w:t>
      </w:r>
    </w:p>
    <w:p w14:paraId="35E08F85">
      <w:pPr>
        <w:pStyle w:val="3"/>
        <w:spacing w:before="100" w:after="80"/>
      </w:pPr>
      <w:r>
        <w:rPr>
          <w:rFonts w:ascii="Arial Unicode MS" w:hAnsi="Arial Unicode MS" w:eastAsia="Arial Unicode MS" w:cs="Arial Unicode MS"/>
          <w:sz w:val="24"/>
        </w:rPr>
        <w:t>产品目标态总图</w:t>
      </w:r>
    </w:p>
    <w:p w14:paraId="77C576D0">
      <w:pPr>
        <w:keepNext/>
        <w:spacing w:after="0" w:line="240" w:lineRule="auto"/>
        <w:jc w:val="center"/>
      </w:pPr>
      <w:r>
        <w:rPr>
          <w:rFonts w:ascii="Arial Unicode MS" w:hAnsi="Arial Unicode MS" w:eastAsia="Arial Unicode MS" w:cs="Arial Unicode MS"/>
        </w:rPr>
        <w:drawing>
          <wp:inline distT="0" distB="0" distL="114300" distR="114300">
            <wp:extent cx="5669280" cy="5385435"/>
            <wp:effectExtent l="0" t="0" r="20320" b="24765"/>
            <wp:docPr id="1" name="Figure 1" descr="目标态总图：识图引擎、三方向知识与审查改进能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 1" descr="目标态总图：识图引擎、三方向知识与审查改进能力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8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ABC5">
      <w:pPr>
        <w:pStyle w:val="15"/>
        <w:jc w:val="center"/>
      </w:pPr>
      <w:r>
        <w:rPr>
          <w:rFonts w:ascii="Arial Unicode MS" w:hAnsi="Arial Unicode MS" w:eastAsia="Arial Unicode MS" w:cs="Arial Unicode MS"/>
        </w:rPr>
        <w:t>图1｜目标态总图：高精度识图引擎与三方向专业知识，共同支持看清、看懂、理解原因、评判与改进。</w:t>
      </w:r>
    </w:p>
    <w:p w14:paraId="7AF73C9E">
      <w:r>
        <w:rPr>
          <w:rFonts w:ascii="Arial Unicode MS" w:hAnsi="Arial Unicode MS" w:eastAsia="Arial Unicode MS" w:cs="Arial Unicode MS"/>
        </w:rPr>
        <w:br w:type="page"/>
      </w:r>
    </w:p>
    <w:p w14:paraId="13319728">
      <w:pPr>
        <w:pStyle w:val="3"/>
      </w:pPr>
      <w:r>
        <w:rPr>
          <w:rFonts w:ascii="Arial Unicode MS" w:hAnsi="Arial Unicode MS" w:eastAsia="Arial Unicode MS" w:cs="Arial Unicode MS"/>
        </w:rPr>
        <w:t>一、产品定位：围绕真实图纸提供专业判断与指导</w:t>
      </w:r>
    </w:p>
    <w:p w14:paraId="0C447075">
      <w:r>
        <w:rPr>
          <w:rFonts w:ascii="Arial Unicode MS" w:hAnsi="Arial Unicode MS" w:eastAsia="Arial Unicode MS" w:cs="Arial Unicode MS"/>
          <w:b w:val="0"/>
        </w:rPr>
        <w:t>“匠学·图纸助教”围绕学生自己的图纸提供帮助。目标是接收一份作品后，既能看清尺寸、符号和图线，也能理解它们表达的工程对象，在明确的规范与工程条件下发现问题，说明理由，指导修改，再验证修改结果。</w:t>
      </w:r>
    </w:p>
    <w:p w14:paraId="4F079E0C">
      <w:r>
        <w:rPr>
          <w:rFonts w:ascii="Arial Unicode MS" w:hAnsi="Arial Unicode MS" w:eastAsia="Arial Unicode MS" w:cs="Arial Unicode MS"/>
          <w:b w:val="0"/>
        </w:rPr>
        <w:t>它将学生的学习过程组织为：</w:t>
      </w:r>
    </w:p>
    <w:p w14:paraId="69DD9276">
      <w:r>
        <w:rPr>
          <w:rFonts w:ascii="Arial Unicode MS" w:hAnsi="Arial Unicode MS" w:eastAsia="Arial Unicode MS" w:cs="Arial Unicode MS"/>
          <w:b/>
        </w:rPr>
        <w:t>提交作品 → 看见问题 → 理解原因 → 自主修改 → 再次验证 → 迁移运用。</w:t>
      </w:r>
    </w:p>
    <w:p w14:paraId="30FF08D0">
      <w:r>
        <w:rPr>
          <w:rFonts w:ascii="Arial Unicode MS" w:hAnsi="Arial Unicode MS" w:eastAsia="Arial Unicode MS" w:cs="Arial Unicode MS"/>
          <w:b w:val="0"/>
        </w:rPr>
        <w:t>教师据此开展针对性指导，企业导师把岗位要求带入作品校审。同一套专业能力也面向企业内部制图与评审：帮助制图员自检，支持校审人员定位和核查问题，辅助工艺人员梳理需要专业判断的条件。</w:t>
      </w:r>
    </w:p>
    <w:p w14:paraId="7D6176DB">
      <w:r>
        <w:rPr>
          <w:rFonts w:ascii="Arial Unicode MS" w:hAnsi="Arial Unicode MS" w:eastAsia="Arial Unicode MS" w:cs="Arial Unicode MS"/>
          <w:b w:val="0"/>
        </w:rPr>
        <w:t>在学校，重点是帮助学生学会；在企业，重点是帮助人员更有依据地完成图纸检查、意见沟通和修改闭环。企业应用同样以核准范围为前提，最终专业审核责任由相应岗位人员承担。</w:t>
      </w:r>
    </w:p>
    <w:p w14:paraId="3D41483D">
      <w:pPr>
        <w:pStyle w:val="3"/>
      </w:pPr>
      <w:r>
        <w:rPr>
          <w:rFonts w:ascii="Arial Unicode MS" w:hAnsi="Arial Unicode MS" w:eastAsia="Arial Unicode MS" w:cs="Arial Unicode MS"/>
        </w:rPr>
        <w:t>二、核心能力全景：从“看清”走向“看懂、会审、能指导”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090"/>
        <w:gridCol w:w="4090"/>
      </w:tblGrid>
      <w:tr w14:paraId="4AE514E4">
        <w:trPr>
          <w:cantSplit/>
          <w:tblHeader/>
          <w:jc w:val="center"/>
        </w:trPr>
        <w:tc>
          <w:tcPr>
            <w:tcW w:w="1757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D3F1D2E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能力</w:t>
            </w:r>
          </w:p>
        </w:tc>
        <w:tc>
          <w:tcPr>
            <w:tcW w:w="4090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0A9360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产品需要回答的问题</w:t>
            </w:r>
          </w:p>
        </w:tc>
        <w:tc>
          <w:tcPr>
            <w:tcW w:w="4090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004976C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使用者获得的帮助</w:t>
            </w:r>
          </w:p>
        </w:tc>
      </w:tr>
      <w:tr w14:paraId="3231A5C9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EAD6575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看清图纸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C1CA0BA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图上实际写了什么、画了什么，哪里可能漏读或读错？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5D68B21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保留位置的图面信息、疑点和可回看的证据</w:t>
            </w:r>
          </w:p>
        </w:tc>
      </w:tr>
      <w:tr w14:paraId="093C549D">
        <w:trPr>
          <w:cantSplit/>
          <w:jc w:val="center"/>
        </w:trPr>
        <w:tc>
          <w:tcPr>
            <w:tcW w:w="175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4B2CCFD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看懂对象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E0770DE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这是孔、轴、槽还是其他结构？标注指向哪里，处于什么视图？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FD1DDB6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将符号和数字放回具体工程对象理解</w:t>
            </w:r>
          </w:p>
        </w:tc>
      </w:tr>
      <w:tr w14:paraId="3319258D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40FCB4F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理解技术要求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FF5BD8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公差、配合及相关标注表达了什么要求？条件是否一致？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D0A7395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解释“为什么这样标”，识别可能的表达冲突</w:t>
            </w:r>
          </w:p>
        </w:tc>
      </w:tr>
      <w:tr w14:paraId="4C64E367">
        <w:trPr>
          <w:cantSplit/>
          <w:jc w:val="center"/>
        </w:trPr>
        <w:tc>
          <w:tcPr>
            <w:tcW w:w="175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413143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能评判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4A6B6E4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哪条要求适用，有无例外，是否具备工程判断条件？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C7EFC87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有依据的问题清单，区分明确问题和待确认项</w:t>
            </w:r>
          </w:p>
        </w:tc>
      </w:tr>
      <w:tr w14:paraId="643E6FA3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6CE0DA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解释并指导改进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9CEB050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为什么有问题，应关注什么、改哪里、如何检查？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A662DEC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分层提示、正确表达参考及修改后的复检</w:t>
            </w:r>
          </w:p>
        </w:tc>
      </w:tr>
      <w:tr w14:paraId="0BC77AC1">
        <w:trPr>
          <w:cantSplit/>
          <w:jc w:val="center"/>
        </w:trPr>
        <w:tc>
          <w:tcPr>
            <w:tcW w:w="175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95845BD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沉淀教学经验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94B3E45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学生反复卡在哪里，哪些指导有效，哪些意见需要修正？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26D4D7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经确认的案例、过程记录与教研线索</w:t>
            </w:r>
          </w:p>
        </w:tc>
      </w:tr>
    </w:tbl>
    <w:p w14:paraId="60034561">
      <w:pPr>
        <w:spacing w:after="20"/>
      </w:pPr>
    </w:p>
    <w:p w14:paraId="1FFB0650">
      <w:r>
        <w:rPr>
          <w:rFonts w:ascii="Arial Unicode MS" w:hAnsi="Arial Unicode MS" w:eastAsia="Arial Unicode MS" w:cs="Arial Unicode MS"/>
          <w:b w:val="0"/>
        </w:rPr>
        <w:t>“看清”是整个产品的基础；“看懂”建立对象和关系；“能评判”在明确条件下判断是否符合要求；“知道为什么这样画”把专业理由讲明白，进一步指导修改。目标态将这四种能力连接起来，并让结论可以核对、改进可以验证。</w:t>
      </w:r>
    </w:p>
    <w:p w14:paraId="13ABA7BE">
      <w:pPr>
        <w:pStyle w:val="3"/>
      </w:pPr>
      <w:r>
        <w:rPr>
          <w:rFonts w:ascii="Arial Unicode MS" w:hAnsi="Arial Unicode MS" w:eastAsia="Arial Unicode MS" w:cs="Arial Unicode MS"/>
        </w:rPr>
        <w:t>三、高精度识图引擎：看清，才有可靠的理解与评判</w:t>
      </w:r>
    </w:p>
    <w:p w14:paraId="52B45422">
      <w:r>
        <w:rPr>
          <w:rFonts w:ascii="Arial Unicode MS" w:hAnsi="Arial Unicode MS" w:eastAsia="Arial Unicode MS" w:cs="Arial Unicode MS"/>
          <w:b w:val="0"/>
        </w:rPr>
        <w:t>总图左侧的识图引擎负责还原图纸实际表达。它不只提取文字，还关注小符号、上下偏差、完整标注、图元及其所在位置，为后续理解提供图面事实与可核对证据。</w:t>
      </w:r>
    </w:p>
    <w:p w14:paraId="23C83AAB">
      <w:r>
        <w:rPr>
          <w:rFonts w:ascii="Arial Unicode MS" w:hAnsi="Arial Unicode MS" w:eastAsia="Arial Unicode MS" w:cs="Arial Unicode MS"/>
          <w:b w:val="0"/>
        </w:rPr>
        <w:t>其目标态工作方式包括：</w:t>
      </w:r>
    </w:p>
    <w:p w14:paraId="378CCBC6">
      <w:r>
        <w:rPr>
          <w:rFonts w:ascii="Arial Unicode MS" w:hAnsi="Arial Unicode MS" w:eastAsia="Arial Unicode MS" w:cs="Arial Unicode MS"/>
          <w:b w:val="0"/>
        </w:rPr>
        <w:t xml:space="preserve">1. </w:t>
      </w:r>
      <w:r>
        <w:rPr>
          <w:rFonts w:ascii="Arial Unicode MS" w:hAnsi="Arial Unicode MS" w:eastAsia="Arial Unicode MS" w:cs="Arial Unicode MS"/>
          <w:b/>
        </w:rPr>
        <w:t>图纸解析与定位：</w:t>
      </w:r>
      <w:r>
        <w:rPr>
          <w:rFonts w:ascii="Arial Unicode MS" w:hAnsi="Arial Unicode MS" w:eastAsia="Arial Unicode MS" w:cs="Arial Unicode MS"/>
          <w:b w:val="0"/>
        </w:rPr>
        <w:t xml:space="preserve"> 读取可用图面信息，建立文字、图形和位置的对应关系。</w:t>
      </w:r>
    </w:p>
    <w:p w14:paraId="60142E31">
      <w:r>
        <w:rPr>
          <w:rFonts w:ascii="Arial Unicode MS" w:hAnsi="Arial Unicode MS" w:eastAsia="Arial Unicode MS" w:cs="Arial Unicode MS"/>
          <w:b w:val="0"/>
        </w:rPr>
        <w:t xml:space="preserve">2. </w:t>
      </w:r>
      <w:r>
        <w:rPr>
          <w:rFonts w:ascii="Arial Unicode MS" w:hAnsi="Arial Unicode MS" w:eastAsia="Arial Unicode MS" w:cs="Arial Unicode MS"/>
          <w:b/>
        </w:rPr>
        <w:t>图文识读：</w:t>
      </w:r>
      <w:r>
        <w:rPr>
          <w:rFonts w:ascii="Arial Unicode MS" w:hAnsi="Arial Unicode MS" w:eastAsia="Arial Unicode MS" w:cs="Arial Unicode MS"/>
          <w:b w:val="0"/>
        </w:rPr>
        <w:t xml:space="preserve"> 结合OCR文字识别与VLM视觉理解，关注数字、符号、排列和周围结构，避免只读到一个脱离上下文的数。</w:t>
      </w:r>
    </w:p>
    <w:p w14:paraId="4CD147EE">
      <w:r>
        <w:rPr>
          <w:rFonts w:ascii="Arial Unicode MS" w:hAnsi="Arial Unicode MS" w:eastAsia="Arial Unicode MS" w:cs="Arial Unicode MS"/>
          <w:b w:val="0"/>
        </w:rPr>
        <w:t xml:space="preserve">3. </w:t>
      </w:r>
      <w:r>
        <w:rPr>
          <w:rFonts w:ascii="Arial Unicode MS" w:hAnsi="Arial Unicode MS" w:eastAsia="Arial Unicode MS" w:cs="Arial Unicode MS"/>
          <w:b/>
        </w:rPr>
        <w:t>交叉核对：</w:t>
      </w:r>
      <w:r>
        <w:rPr>
          <w:rFonts w:ascii="Arial Unicode MS" w:hAnsi="Arial Unicode MS" w:eastAsia="Arial Unicode MS" w:cs="Arial Unicode MS"/>
          <w:b w:val="0"/>
        </w:rPr>
        <w:t xml:space="preserve"> 核查不同读法、标注完整性及疑似遗漏，不能因为重复出现同一读数就认定必然正确。</w:t>
      </w:r>
    </w:p>
    <w:p w14:paraId="2A2A2807">
      <w:r>
        <w:rPr>
          <w:rFonts w:ascii="Arial Unicode MS" w:hAnsi="Arial Unicode MS" w:eastAsia="Arial Unicode MS" w:cs="Arial Unicode MS"/>
          <w:b w:val="0"/>
        </w:rPr>
        <w:t xml:space="preserve">4. </w:t>
      </w:r>
      <w:r>
        <w:rPr>
          <w:rFonts w:ascii="Arial Unicode MS" w:hAnsi="Arial Unicode MS" w:eastAsia="Arial Unicode MS" w:cs="Arial Unicode MS"/>
          <w:b/>
        </w:rPr>
        <w:t>语义与视觉复核：</w:t>
      </w:r>
      <w:r>
        <w:rPr>
          <w:rFonts w:ascii="Arial Unicode MS" w:hAnsi="Arial Unicode MS" w:eastAsia="Arial Unicode MS" w:cs="Arial Unicode MS"/>
          <w:b w:val="0"/>
        </w:rPr>
        <w:t xml:space="preserve"> 借助VLM回看实际图面，结合LLM对上下文的辅助理解，对疑点补充核查；推测不能覆盖原始表达。</w:t>
      </w:r>
    </w:p>
    <w:p w14:paraId="21A13FCE">
      <w:r>
        <w:rPr>
          <w:rFonts w:ascii="Arial Unicode MS" w:hAnsi="Arial Unicode MS" w:eastAsia="Arial Unicode MS" w:cs="Arial Unicode MS"/>
          <w:b w:val="0"/>
        </w:rPr>
        <w:t xml:space="preserve">5. </w:t>
      </w:r>
      <w:r>
        <w:rPr>
          <w:rFonts w:ascii="Arial Unicode MS" w:hAnsi="Arial Unicode MS" w:eastAsia="Arial Unicode MS" w:cs="Arial Unicode MS"/>
          <w:b/>
        </w:rPr>
        <w:t>整图复核与人工确认：</w:t>
      </w:r>
      <w:r>
        <w:rPr>
          <w:rFonts w:ascii="Arial Unicode MS" w:hAnsi="Arial Unicode MS" w:eastAsia="Arial Unicode MS" w:cs="Arial Unicode MS"/>
          <w:b w:val="0"/>
        </w:rPr>
        <w:t xml:space="preserve"> 结合整图检查一致性，给出证据和待确认项，由教师或专业人员处理仍有争议的内容。</w:t>
      </w:r>
    </w:p>
    <w:p w14:paraId="0E6C528A">
      <w:r>
        <w:rPr>
          <w:rFonts w:ascii="Arial Unicode MS" w:hAnsi="Arial Unicode MS" w:eastAsia="Arial Unicode MS" w:cs="Arial Unicode MS"/>
          <w:b w:val="0"/>
        </w:rPr>
        <w:t>这里的OCR指文字识别，VLM指视觉语言模型，LLM指大语言模型。它们在图中表示通用能力角色，不对应公开的厂商、型号或版本。</w:t>
      </w:r>
    </w:p>
    <w:p w14:paraId="4D5384DE">
      <w:r>
        <w:rPr>
          <w:rFonts w:ascii="Arial Unicode MS" w:hAnsi="Arial Unicode MS" w:eastAsia="Arial Unicode MS" w:cs="Arial Unicode MS"/>
          <w:b w:val="0"/>
        </w:rPr>
        <w:t>识图引擎输出完整标注、位置关系、原图证据和疑点；总图右侧的专业知识提供合规依据、对象原理和实践经验。二者共同支持下方的工程理解与审查指导：</w:t>
      </w:r>
      <w:r>
        <w:rPr>
          <w:rFonts w:ascii="Arial Unicode MS" w:hAnsi="Arial Unicode MS" w:eastAsia="Arial Unicode MS" w:cs="Arial Unicode MS"/>
          <w:b/>
        </w:rPr>
        <w:t>理解画的是什么，知道为什么这样画，判断是否适用要求，给出有条件、有依据的改进建议。</w:t>
      </w:r>
    </w:p>
    <w:p w14:paraId="5CA110F0">
      <w:r>
        <w:rPr>
          <w:rFonts w:ascii="Arial Unicode MS" w:hAnsi="Arial Unicode MS" w:eastAsia="Arial Unicode MS" w:cs="Arial Unicode MS"/>
          <w:b w:val="0"/>
        </w:rPr>
        <w:t>读清一处标注，不等于已经判定该处合规；查到一条规范，也不等于已经理解了它所适用的对象。总图将这几项能力连成完整过程。</w:t>
      </w:r>
    </w:p>
    <w:p w14:paraId="2847D211">
      <w:pPr>
        <w:pStyle w:val="3"/>
      </w:pPr>
      <w:r>
        <w:rPr>
          <w:rFonts w:ascii="Arial Unicode MS" w:hAnsi="Arial Unicode MS" w:eastAsia="Arial Unicode MS" w:cs="Arial Unicode MS"/>
        </w:rPr>
        <w:t>四、专业知识从哪里来：三类资源、三种作用</w:t>
      </w:r>
    </w:p>
    <w:p w14:paraId="1E85D3AF">
      <w:pPr>
        <w:keepNext/>
        <w:spacing w:after="0" w:line="240" w:lineRule="auto"/>
        <w:jc w:val="center"/>
      </w:pPr>
      <w:r>
        <w:rPr>
          <w:rFonts w:ascii="Arial Unicode MS" w:hAnsi="Arial Unicode MS" w:eastAsia="Arial Unicode MS" w:cs="Arial Unicode MS"/>
        </w:rPr>
        <w:drawing>
          <wp:inline distT="0" distB="0" distL="114300" distR="114300">
            <wp:extent cx="6263640" cy="4250055"/>
            <wp:effectExtent l="0" t="0" r="10160" b="17145"/>
            <wp:docPr id="2" name="Figure 2" descr="图2：三类专业知识支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 2" descr="图2：三类专业知识支撑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25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92A5">
      <w:pPr>
        <w:pStyle w:val="15"/>
        <w:jc w:val="center"/>
      </w:pPr>
      <w:r>
        <w:rPr>
          <w:rFonts w:ascii="Arial Unicode MS" w:hAnsi="Arial Unicode MS" w:eastAsia="Arial Unicode MS" w:cs="Arial Unicode MS"/>
        </w:rPr>
        <w:t>图2｜三类专业知识支撑。</w:t>
      </w:r>
    </w:p>
    <w:p w14:paraId="765B69A8">
      <w:r>
        <w:rPr>
          <w:rFonts w:ascii="Arial Unicode MS" w:hAnsi="Arial Unicode MS" w:eastAsia="Arial Unicode MS" w:cs="Arial Unicode MS"/>
          <w:b w:val="0"/>
        </w:rPr>
        <w:t>产品要像老师傅一样看图讲图，需要把“是否合规”“怎样画对”“实际工作中为什么容易画错、如何处理”联系起来。三类知识各有作用，不能仅靠一份标准或通用问答覆盖全部。</w:t>
      </w:r>
    </w:p>
    <w:p w14:paraId="29109A7D">
      <w:pPr>
        <w:pStyle w:val="4"/>
      </w:pPr>
      <w:r>
        <w:rPr>
          <w:rFonts w:ascii="Arial Unicode MS" w:hAnsi="Arial Unicode MS" w:eastAsia="Arial Unicode MS" w:cs="Arial Unicode MS"/>
        </w:rPr>
        <w:t>4.1 国标：讲合规性，回答“是否符合要求”</w:t>
      </w:r>
    </w:p>
    <w:p w14:paraId="390A2774">
      <w:r>
        <w:rPr>
          <w:rFonts w:ascii="Arial Unicode MS" w:hAnsi="Arial Unicode MS" w:eastAsia="Arial Unicode MS" w:cs="Arial Unicode MS"/>
          <w:b w:val="0"/>
        </w:rPr>
        <w:t>国家标准及适用的专业规范，为检查提供依据：哪些表达有明确要求、适用于什么对象、允许哪些例外。产品据此说明问题属于什么要求，并让使用者能够核对出处。</w:t>
      </w:r>
    </w:p>
    <w:p w14:paraId="0F322371">
      <w:r>
        <w:rPr>
          <w:rFonts w:ascii="Arial Unicode MS" w:hAnsi="Arial Unicode MS" w:eastAsia="Arial Unicode MS" w:cs="Arial Unicode MS"/>
          <w:b w:val="0"/>
        </w:rPr>
        <w:t>国标主要解决“该怎样规定”，不能把查到一段条文就当作已经理解整张图。实际评判还需要看清图面、确认对象与适用条件。</w:t>
      </w:r>
    </w:p>
    <w:p w14:paraId="22BCC952">
      <w:pPr>
        <w:pStyle w:val="4"/>
      </w:pPr>
      <w:r>
        <w:rPr>
          <w:rFonts w:ascii="Arial Unicode MS" w:hAnsi="Arial Unicode MS" w:eastAsia="Arial Unicode MS" w:cs="Arial Unicode MS"/>
        </w:rPr>
        <w:t>4.2 教材：讲怎样画对，回答“画的是什么、为什么这样画”</w:t>
      </w:r>
    </w:p>
    <w:p w14:paraId="3A87D106">
      <w:r>
        <w:rPr>
          <w:rFonts w:ascii="Arial Unicode MS" w:hAnsi="Arial Unicode MS" w:eastAsia="Arial Unicode MS" w:cs="Arial Unicode MS"/>
          <w:b w:val="0"/>
        </w:rPr>
        <w:t>制图与公差配合等教材，支持理解零件结构、视图、孔轴等对象，以及尺寸、公差、符号和基准所表达的含义。</w:t>
      </w:r>
    </w:p>
    <w:p w14:paraId="1757EE7B">
      <w:r>
        <w:rPr>
          <w:rFonts w:ascii="Arial Unicode MS" w:hAnsi="Arial Unicode MS" w:eastAsia="Arial Unicode MS" w:cs="Arial Unicode MS"/>
          <w:b w:val="0"/>
        </w:rPr>
        <w:t>它补上从“识别字符”到“理解专业含义”的一步：这处标注指向什么？这个符号在这里是什么意思？为什么采用这种画法？正确表达需要满足什么条件？</w:t>
      </w:r>
    </w:p>
    <w:p w14:paraId="50CED1FA">
      <w:r>
        <w:rPr>
          <w:rFonts w:ascii="Arial Unicode MS" w:hAnsi="Arial Unicode MS" w:eastAsia="Arial Unicode MS" w:cs="Arial Unicode MS"/>
          <w:b w:val="0"/>
        </w:rPr>
        <w:t>对学生，这是从记住画法走向理解原理；对企业人员，这是把检查意见与设计意图、工程对象联系起来。涉及具体参数选择时，仍需具备相应功能与设计条件。</w:t>
      </w:r>
    </w:p>
    <w:p w14:paraId="1A7D4D9B">
      <w:pPr>
        <w:pStyle w:val="4"/>
      </w:pPr>
      <w:r>
        <w:rPr>
          <w:rFonts w:ascii="Arial Unicode MS" w:hAnsi="Arial Unicode MS" w:eastAsia="Arial Unicode MS" w:cs="Arial Unicode MS"/>
        </w:rPr>
        <w:t>4.3 手册、正误图册与专家经验：讲实践判断，回答“哪里容易错、怎样做好”</w:t>
      </w:r>
    </w:p>
    <w:p w14:paraId="06270A97">
      <w:r>
        <w:rPr>
          <w:rFonts w:ascii="Arial Unicode MS" w:hAnsi="Arial Unicode MS" w:eastAsia="Arial Unicode MS" w:cs="Arial Unicode MS"/>
          <w:b w:val="0"/>
        </w:rPr>
        <w:t>机械设计与工艺手册补充结构、材料、加工及检验相关的实践知识；正误图册提供常见错法与正确画法对照；企业专家经验补充具体岗位中的判断条件和处理办法。</w:t>
      </w:r>
    </w:p>
    <w:p w14:paraId="05226833">
      <w:r>
        <w:rPr>
          <w:rFonts w:ascii="Arial Unicode MS" w:hAnsi="Arial Unicode MS" w:eastAsia="Arial Unicode MS" w:cs="Arial Unicode MS"/>
          <w:b w:val="0"/>
        </w:rPr>
        <w:t>这些资源共同支持工艺合理性与正误辨析，帮助使用者理解“为什么这类做法容易出问题”“在当前条件下应怎样改”。正误图册也可能涉及规范和表达，并非所有案例都属于工艺问题；使用时按实际内容区分。</w:t>
      </w:r>
    </w:p>
    <w:p w14:paraId="49CECC4D">
      <w:r>
        <w:rPr>
          <w:rFonts w:ascii="Arial Unicode MS" w:hAnsi="Arial Unicode MS" w:eastAsia="Arial Unicode MS" w:cs="Arial Unicode MS"/>
          <w:b w:val="0"/>
        </w:rPr>
        <w:t>产品呈现的不只是“错了”，还应有接近当前问题的正例、修改方向与注意条件。实践经验必须说明适用范围，不能冒充国标条款，也不能在缺少条件时变成武断的设计结论。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090"/>
        <w:gridCol w:w="4090"/>
      </w:tblGrid>
      <w:tr w14:paraId="542162E1">
        <w:trPr>
          <w:cantSplit/>
          <w:tblHeader/>
          <w:jc w:val="center"/>
        </w:trPr>
        <w:tc>
          <w:tcPr>
            <w:tcW w:w="1757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31B5D13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知识来源</w:t>
            </w:r>
          </w:p>
        </w:tc>
        <w:tc>
          <w:tcPr>
            <w:tcW w:w="4090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DC4A407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主要解决什么</w:t>
            </w:r>
          </w:p>
        </w:tc>
        <w:tc>
          <w:tcPr>
            <w:tcW w:w="4090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BEB76FB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带给使用者的价值</w:t>
            </w:r>
          </w:p>
        </w:tc>
      </w:tr>
      <w:tr w14:paraId="58B31982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37DA904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国标与规范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3AC364E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是否合规、依据是什么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0149D2D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评判有据可查</w:t>
            </w:r>
          </w:p>
        </w:tc>
      </w:tr>
      <w:tr w14:paraId="5EDD8FE2">
        <w:trPr>
          <w:cantSplit/>
          <w:jc w:val="center"/>
        </w:trPr>
        <w:tc>
          <w:tcPr>
            <w:tcW w:w="175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E68A59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教材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D350833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画的是什么、符号含义、怎样画对及为什么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D2B5F94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理解对象与原理</w:t>
            </w:r>
          </w:p>
        </w:tc>
      </w:tr>
      <w:tr w14:paraId="572156AE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90F2C9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21"/>
              </w:rPr>
              <w:t>手册、正误图册与专家经验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8DDC75D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工艺合理性、常见错法、正确对照和实践处理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2BECEBB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学会辨析并改进</w:t>
            </w:r>
          </w:p>
        </w:tc>
      </w:tr>
    </w:tbl>
    <w:p w14:paraId="5D510839">
      <w:pPr>
        <w:spacing w:after="20"/>
      </w:pPr>
    </w:p>
    <w:p w14:paraId="28DB94E6">
      <w:pPr>
        <w:pStyle w:val="3"/>
      </w:pPr>
      <w:r>
        <w:rPr>
          <w:rFonts w:ascii="Arial Unicode MS" w:hAnsi="Arial Unicode MS" w:eastAsia="Arial Unicode MS" w:cs="Arial Unicode MS"/>
        </w:rPr>
        <w:t>五、从专业知识到有用的检查意见</w:t>
      </w:r>
    </w:p>
    <w:p w14:paraId="4067786D">
      <w:r>
        <w:rPr>
          <w:rFonts w:ascii="Arial Unicode MS" w:hAnsi="Arial Unicode MS" w:eastAsia="Arial Unicode MS" w:cs="Arial Unicode MS"/>
          <w:b w:val="0"/>
        </w:rPr>
        <w:t>知识负责解释含义，判据明确检查条件，案例帮助理解正误与改进方法。三者结合图纸实际内容，形成一条使用者能够看懂的反馈：</w:t>
      </w:r>
    </w:p>
    <w:p w14:paraId="3581E93D">
      <w:r>
        <w:rPr>
          <w:rFonts w:ascii="Arial Unicode MS" w:hAnsi="Arial Unicode MS" w:eastAsia="Arial Unicode MS" w:cs="Arial Unicode MS"/>
          <w:b/>
        </w:rPr>
        <w:t>图面事实 → 所指对象 → 适用要求 → 问题与原因 → 修改建议 → 再次验证。</w:t>
      </w:r>
    </w:p>
    <w:p w14:paraId="6422DEC4">
      <w:r>
        <w:rPr>
          <w:rFonts w:ascii="Arial Unicode MS" w:hAnsi="Arial Unicode MS" w:eastAsia="Arial Unicode MS" w:cs="Arial Unicode MS"/>
          <w:b w:val="0"/>
        </w:rPr>
        <w:t>例如，发现一处公差表达疑点，产品先核对原始字符和位置，再确认它指向孔还是轴；之后判断相关要求是否适用，解释问题，并在条件充分时给出修改方向。遇到工艺条件不足或合理例外，则说明需要补充什么，而不是硬给答案。</w:t>
      </w:r>
    </w:p>
    <w:p w14:paraId="71E7024D">
      <w:r>
        <w:rPr>
          <w:rFonts w:ascii="Arial Unicode MS" w:hAnsi="Arial Unicode MS" w:eastAsia="Arial Unicode MS" w:cs="Arial Unicode MS"/>
          <w:b w:val="0"/>
        </w:rPr>
        <w:t>这也是“老师傅式指导”的核心：</w:t>
      </w:r>
      <w:r>
        <w:rPr>
          <w:rFonts w:ascii="Arial Unicode MS" w:hAnsi="Arial Unicode MS" w:eastAsia="Arial Unicode MS" w:cs="Arial Unicode MS"/>
          <w:b/>
        </w:rPr>
        <w:t>对着对象讲问题，联系依据讲原因，结合条件讲做法。</w:t>
      </w:r>
    </w:p>
    <w:p w14:paraId="49041E45">
      <w:pPr>
        <w:pStyle w:val="3"/>
      </w:pPr>
      <w:r>
        <w:rPr>
          <w:rFonts w:ascii="Arial Unicode MS" w:hAnsi="Arial Unicode MS" w:eastAsia="Arial Unicode MS" w:cs="Arial Unicode MS"/>
        </w:rPr>
        <w:t>六、两种检查方式，一套改进过程</w:t>
      </w:r>
    </w:p>
    <w:p w14:paraId="15DAAAFD">
      <w:pPr>
        <w:pStyle w:val="4"/>
      </w:pPr>
      <w:r>
        <w:rPr>
          <w:rFonts w:ascii="Arial Unicode MS" w:hAnsi="Arial Unicode MS" w:eastAsia="Arial Unicode MS" w:cs="Arial Unicode MS"/>
        </w:rPr>
        <w:t>6.1 单图规范检查</w:t>
      </w:r>
    </w:p>
    <w:p w14:paraId="138897E2">
      <w:r>
        <w:rPr>
          <w:rFonts w:ascii="Arial Unicode MS" w:hAnsi="Arial Unicode MS" w:eastAsia="Arial Unicode MS" w:cs="Arial Unicode MS"/>
          <w:b w:val="0"/>
        </w:rPr>
        <w:t>教师选定本次任务与检查范围，学生提交图纸。产品依据已核准的要求检查，不以必须提供正确答案图为前提。</w:t>
      </w:r>
    </w:p>
    <w:p w14:paraId="31BDF639">
      <w:r>
        <w:rPr>
          <w:rFonts w:ascii="Arial Unicode MS" w:hAnsi="Arial Unicode MS" w:eastAsia="Arial Unicode MS" w:cs="Arial Unicode MS"/>
          <w:b w:val="0"/>
        </w:rPr>
        <w:t>适用于日常练习、自主检查和企业任务实训。结果包括发现的问题、已检查范围，以及因图质、对象关系或资料条件不足而无法判断的内容。</w:t>
      </w:r>
    </w:p>
    <w:p w14:paraId="67F8BA2E">
      <w:pPr>
        <w:pStyle w:val="4"/>
      </w:pPr>
      <w:r>
        <w:rPr>
          <w:rFonts w:ascii="Arial Unicode MS" w:hAnsi="Arial Unicode MS" w:eastAsia="Arial Unicode MS" w:cs="Arial Unicode MS"/>
        </w:rPr>
        <w:t>6.2 标准答案对照</w:t>
      </w:r>
    </w:p>
    <w:p w14:paraId="5B2DE7F1">
      <w:r>
        <w:rPr>
          <w:rFonts w:ascii="Arial Unicode MS" w:hAnsi="Arial Unicode MS" w:eastAsia="Arial Unicode MS" w:cs="Arial Unicode MS"/>
          <w:b w:val="0"/>
        </w:rPr>
        <w:t>教师提供已确认的参考图及允许的表达差异，产品将学生图纸与参考对象对应，核对尺寸、符号、标注和关系上的差异。</w:t>
      </w:r>
    </w:p>
    <w:p w14:paraId="4D898260">
      <w:r>
        <w:rPr>
          <w:rFonts w:ascii="Arial Unicode MS" w:hAnsi="Arial Unicode MS" w:eastAsia="Arial Unicode MS" w:cs="Arial Unicode MS"/>
          <w:b w:val="0"/>
        </w:rPr>
        <w:t>适用于有明确参考作品的教学任务。与参考图不同不一定就是错误；需要考虑等效表达、合理省略和任务要求，再形成检查意见。对照检查也不等同于自动打分。</w:t>
      </w:r>
    </w:p>
    <w:p w14:paraId="1F282F75">
      <w:pPr>
        <w:pStyle w:val="4"/>
      </w:pPr>
      <w:r>
        <w:rPr>
          <w:rFonts w:ascii="Arial Unicode MS" w:hAnsi="Arial Unicode MS" w:eastAsia="Arial Unicode MS" w:cs="Arial Unicode MS"/>
        </w:rPr>
        <w:t>6.3 解释、修改与复检</w:t>
      </w:r>
    </w:p>
    <w:p w14:paraId="6730D593">
      <w:r>
        <w:rPr>
          <w:rFonts w:ascii="Arial Unicode MS" w:hAnsi="Arial Unicode MS" w:eastAsia="Arial Unicode MS" w:cs="Arial Unicode MS"/>
          <w:b w:val="0"/>
        </w:rPr>
        <w:t>两种方式都应形成可理解的反馈，并支持学生提交修改版本。复检关注原问题是否消除、关联位置是否受影响；不能因为修改前后“不一样”，就认定已经改对。</w:t>
      </w:r>
    </w:p>
    <w:p w14:paraId="249DF1ED">
      <w:pPr>
        <w:pStyle w:val="3"/>
      </w:pPr>
      <w:r>
        <w:rPr>
          <w:rFonts w:ascii="Arial Unicode MS" w:hAnsi="Arial Unicode MS" w:eastAsia="Arial Unicode MS" w:cs="Arial Unicode MS"/>
        </w:rPr>
        <w:t>七、师生怎样使用：一张图纸的学习过程</w:t>
      </w:r>
    </w:p>
    <w:p w14:paraId="0EE56614">
      <w:pPr>
        <w:keepNext/>
        <w:spacing w:after="0" w:line="240" w:lineRule="auto"/>
        <w:jc w:val="center"/>
      </w:pPr>
      <w:r>
        <w:rPr>
          <w:rFonts w:ascii="Arial Unicode MS" w:hAnsi="Arial Unicode MS" w:eastAsia="Arial Unicode MS" w:cs="Arial Unicode MS"/>
        </w:rPr>
        <w:drawing>
          <wp:inline distT="0" distB="0" distL="114300" distR="114300">
            <wp:extent cx="6263640" cy="4921250"/>
            <wp:effectExtent l="0" t="0" r="10160" b="6350"/>
            <wp:docPr id="3" name="Figure 3" descr="图3：学校与企业使用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3" descr="图3：学校与企业使用闭环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92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4908">
      <w:pPr>
        <w:pStyle w:val="15"/>
        <w:jc w:val="center"/>
      </w:pPr>
      <w:r>
        <w:rPr>
          <w:rFonts w:ascii="Arial Unicode MS" w:hAnsi="Arial Unicode MS" w:eastAsia="Arial Unicode MS" w:cs="Arial Unicode MS"/>
        </w:rPr>
        <w:t>图3｜学校与企业使用闭环。</w:t>
      </w:r>
    </w:p>
    <w:p w14:paraId="08EA8EB3">
      <w:pPr>
        <w:pStyle w:val="4"/>
      </w:pPr>
      <w:r>
        <w:rPr>
          <w:rFonts w:ascii="Arial Unicode MS" w:hAnsi="Arial Unicode MS" w:eastAsia="Arial Unicode MS" w:cs="Arial Unicode MS"/>
        </w:rPr>
        <w:t>教师课前：设置任务与指导边界</w:t>
      </w:r>
    </w:p>
    <w:p w14:paraId="6B2472CA">
      <w:r>
        <w:rPr>
          <w:rFonts w:ascii="Arial Unicode MS" w:hAnsi="Arial Unicode MS" w:eastAsia="Arial Unicode MS" w:cs="Arial Unicode MS"/>
          <w:b w:val="0"/>
        </w:rPr>
        <w:t>选择授权脱敏的企业任务，明确学生需要完成什么、采用哪些要求、本次检查哪些内容，以及是否使用参考图。按训练目标设定提示程度，让软件服务当前教学任务。</w:t>
      </w:r>
    </w:p>
    <w:p w14:paraId="05807599">
      <w:pPr>
        <w:pStyle w:val="4"/>
      </w:pPr>
      <w:r>
        <w:rPr>
          <w:rFonts w:ascii="Arial Unicode MS" w:hAnsi="Arial Unicode MS" w:eastAsia="Arial Unicode MS" w:cs="Arial Unicode MS"/>
        </w:rPr>
        <w:t>学生练习：先独立完成，再围绕作品求助</w:t>
      </w:r>
    </w:p>
    <w:p w14:paraId="095EBEB1">
      <w:r>
        <w:rPr>
          <w:rFonts w:ascii="Arial Unicode MS" w:hAnsi="Arial Unicode MS" w:eastAsia="Arial Unicode MS" w:cs="Arial Unicode MS"/>
          <w:b w:val="0"/>
        </w:rPr>
        <w:t>学生提交初稿，先查看回标位置和问题方向，再回答与该处相关的问题。遇到困难，可逐步申请概念解释、依据提示和正确表达参考；仍有争议时请教师确认。</w:t>
      </w:r>
    </w:p>
    <w:p w14:paraId="04AE2273">
      <w:pPr>
        <w:pStyle w:val="4"/>
      </w:pPr>
      <w:r>
        <w:rPr>
          <w:rFonts w:ascii="Arial Unicode MS" w:hAnsi="Arial Unicode MS" w:eastAsia="Arial Unicode MS" w:cs="Arial Unicode MS"/>
        </w:rPr>
        <w:t>教师课中：结合问题开展个别指导</w:t>
      </w:r>
    </w:p>
    <w:p w14:paraId="0F2C14AC">
      <w:r>
        <w:rPr>
          <w:rFonts w:ascii="Arial Unicode MS" w:hAnsi="Arial Unicode MS" w:eastAsia="Arial Unicode MS" w:cs="Arial Unicode MS"/>
          <w:b w:val="0"/>
        </w:rPr>
        <w:t>教师核对重要结论，指导学生理解关键对象和要求。共性问题可集中讲解，个别问题继续针对性辅导。产品目标是帮助教师及时找到需要指导的地方，最终教学决策仍由教师负责。</w:t>
      </w:r>
    </w:p>
    <w:p w14:paraId="5B68FA50">
      <w:pPr>
        <w:pStyle w:val="4"/>
      </w:pPr>
      <w:r>
        <w:rPr>
          <w:rFonts w:ascii="Arial Unicode MS" w:hAnsi="Arial Unicode MS" w:eastAsia="Arial Unicode MS" w:cs="Arial Unicode MS"/>
        </w:rPr>
        <w:t>学生修改：说明理由，再提交复检</w:t>
      </w:r>
    </w:p>
    <w:p w14:paraId="0E2316C4">
      <w:r>
        <w:rPr>
          <w:rFonts w:ascii="Arial Unicode MS" w:hAnsi="Arial Unicode MS" w:eastAsia="Arial Unicode MS" w:cs="Arial Unicode MS"/>
          <w:b w:val="0"/>
        </w:rPr>
        <w:t>学生修改作品并说明采纳了哪些意见、为什么这样改。产品核对新版本，保留需要继续关注的内容。一次修改不能只以“消掉提示”为目标，还要理解修改依据。</w:t>
      </w:r>
    </w:p>
    <w:p w14:paraId="6F402CBE">
      <w:pPr>
        <w:pStyle w:val="4"/>
      </w:pPr>
      <w:r>
        <w:rPr>
          <w:rFonts w:ascii="Arial Unicode MS" w:hAnsi="Arial Unicode MS" w:eastAsia="Arial Unicode MS" w:cs="Arial Unicode MS"/>
        </w:rPr>
        <w:t>课后评价：检验能否脱离提示独立完成</w:t>
      </w:r>
    </w:p>
    <w:p w14:paraId="68C70E4A">
      <w:r>
        <w:rPr>
          <w:rFonts w:ascii="Arial Unicode MS" w:hAnsi="Arial Unicode MS" w:eastAsia="Arial Unicode MS" w:cs="Arial Unicode MS"/>
          <w:b w:val="0"/>
        </w:rPr>
        <w:t>通过同等难度的新任务、口头解释和作品复核检验学习效果。训练中的提示使用、修改轨迹可以作为过程证据，但不能单独代替学生能力评价。</w:t>
      </w:r>
    </w:p>
    <w:p w14:paraId="47D0339D">
      <w:pPr>
        <w:pStyle w:val="3"/>
      </w:pPr>
      <w:r>
        <w:rPr>
          <w:rFonts w:ascii="Arial Unicode MS" w:hAnsi="Arial Unicode MS" w:eastAsia="Arial Unicode MS" w:cs="Arial Unicode MS"/>
        </w:rPr>
        <w:t>八、反馈应当长什么样：一个脱敏教学示例</w:t>
      </w:r>
    </w:p>
    <w:p w14:paraId="3D538427">
      <w:pPr>
        <w:keepNext/>
        <w:spacing w:after="0" w:line="240" w:lineRule="auto"/>
        <w:jc w:val="center"/>
      </w:pPr>
      <w:r>
        <w:rPr>
          <w:rFonts w:ascii="Arial Unicode MS" w:hAnsi="Arial Unicode MS" w:eastAsia="Arial Unicode MS" w:cs="Arial Unicode MS"/>
        </w:rPr>
        <w:drawing>
          <wp:inline distT="0" distB="0" distL="114300" distR="114300">
            <wp:extent cx="6263640" cy="4160520"/>
            <wp:effectExtent l="0" t="0" r="10160" b="5080"/>
            <wp:docPr id="4" name="Figure 4" descr="图4：问题解释与指导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 4" descr="图4：问题解释与指导示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6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0828">
      <w:pPr>
        <w:pStyle w:val="15"/>
        <w:jc w:val="center"/>
      </w:pPr>
      <w:r>
        <w:rPr>
          <w:rFonts w:ascii="Arial Unicode MS" w:hAnsi="Arial Unicode MS" w:eastAsia="Arial Unicode MS" w:cs="Arial Unicode MS"/>
        </w:rPr>
        <w:t>图4｜问题解释与指导示意。</w:t>
      </w:r>
    </w:p>
    <w:p w14:paraId="5B08DFCE">
      <w:r>
        <w:rPr>
          <w:rFonts w:ascii="Arial Unicode MS" w:hAnsi="Arial Unicode MS" w:eastAsia="Arial Unicode MS" w:cs="Arial Unicode MS"/>
          <w:b w:val="0"/>
        </w:rPr>
        <w:t>以下为目标态交互示例，不代表已完成的课堂应用。</w:t>
      </w:r>
    </w:p>
    <w:p w14:paraId="36C5B9CA">
      <w:r>
        <w:rPr>
          <w:rFonts w:ascii="Arial Unicode MS" w:hAnsi="Arial Unicode MS" w:eastAsia="Arial Unicode MS" w:cs="Arial Unicode MS"/>
          <w:b/>
        </w:rPr>
        <w:t>情境：学生的一处公差表达可能与所标注对象不匹配。</w:t>
      </w:r>
    </w:p>
    <w:p w14:paraId="6B0B5584">
      <w:r>
        <w:rPr>
          <w:rFonts w:ascii="Arial Unicode MS" w:hAnsi="Arial Unicode MS" w:eastAsia="Arial Unicode MS" w:cs="Arial Unicode MS"/>
          <w:b w:val="0"/>
        </w:rPr>
        <w:t>产品先定位疑点、确认对象，再解释适用要求并给出修改方向。学生依据提示自主修改，并通过复检核对原问题与关联影响；教师和专业人员可对每一步进行核查。</w:t>
      </w:r>
    </w:p>
    <w:p w14:paraId="755A0FDA">
      <w:r>
        <w:rPr>
          <w:rFonts w:ascii="Arial Unicode MS" w:hAnsi="Arial Unicode MS" w:eastAsia="Arial Unicode MS" w:cs="Arial Unicode MS"/>
          <w:b w:val="0"/>
        </w:rPr>
        <w:t>如对象关系或原始字符尚未确认，先提示“需要核对”，不能直接判学生画错。学生若认为提示不适用，可以提出理由，由教师复核。</w:t>
      </w:r>
    </w:p>
    <w:p w14:paraId="3885070C">
      <w:pPr>
        <w:pStyle w:val="3"/>
      </w:pPr>
      <w:r>
        <w:rPr>
          <w:rFonts w:ascii="Arial Unicode MS" w:hAnsi="Arial Unicode MS" w:eastAsia="Arial Unicode MS" w:cs="Arial Unicode MS"/>
        </w:rPr>
        <w:t>九、产品优势：专业图纸理解与有依据的学习指导</w:t>
      </w:r>
    </w:p>
    <w:p w14:paraId="774986C7">
      <w:pPr>
        <w:pStyle w:val="4"/>
      </w:pPr>
      <w:r>
        <w:rPr>
          <w:rFonts w:ascii="Arial Unicode MS" w:hAnsi="Arial Unicode MS" w:eastAsia="Arial Unicode MS" w:cs="Arial Unicode MS"/>
        </w:rPr>
        <w:t>优势一：从完整工程表达出发</w:t>
      </w:r>
    </w:p>
    <w:p w14:paraId="3DAF5D68">
      <w:r>
        <w:rPr>
          <w:rFonts w:ascii="Arial Unicode MS" w:hAnsi="Arial Unicode MS" w:eastAsia="Arial Unicode MS" w:cs="Arial Unicode MS"/>
          <w:b w:val="0"/>
        </w:rPr>
        <w:t>关注小符号、上下排列、所在位置和关联对象，面向机械图纸的实际难点提供支持。价值不止是提取文字，还包括减少错位理解与关键含义丢失。</w:t>
      </w:r>
    </w:p>
    <w:p w14:paraId="5323899F">
      <w:pPr>
        <w:pStyle w:val="4"/>
      </w:pPr>
      <w:r>
        <w:rPr>
          <w:rFonts w:ascii="Arial Unicode MS" w:hAnsi="Arial Unicode MS" w:eastAsia="Arial Unicode MS" w:cs="Arial Unicode MS"/>
        </w:rPr>
        <w:t>优势二：把“看清”与“看懂”连接起来</w:t>
      </w:r>
    </w:p>
    <w:p w14:paraId="2A56D9BF">
      <w:r>
        <w:rPr>
          <w:rFonts w:ascii="Arial Unicode MS" w:hAnsi="Arial Unicode MS" w:eastAsia="Arial Unicode MS" w:cs="Arial Unicode MS"/>
          <w:b w:val="0"/>
        </w:rPr>
        <w:t>可靠读取打基础，国标、教材、手册与正误案例分别补充合规依据、专业原理和实践经验，让检查能够联系工程语境，避免只见符号、不见对象。</w:t>
      </w:r>
    </w:p>
    <w:p w14:paraId="762F87F0">
      <w:pPr>
        <w:pStyle w:val="4"/>
      </w:pPr>
      <w:r>
        <w:rPr>
          <w:rFonts w:ascii="Arial Unicode MS" w:hAnsi="Arial Unicode MS" w:eastAsia="Arial Unicode MS" w:cs="Arial Unicode MS"/>
        </w:rPr>
        <w:t>优势三：发现问题后能解释、能指导</w:t>
      </w:r>
    </w:p>
    <w:p w14:paraId="7412699F">
      <w:r>
        <w:rPr>
          <w:rFonts w:ascii="Arial Unicode MS" w:hAnsi="Arial Unicode MS" w:eastAsia="Arial Unicode MS" w:cs="Arial Unicode MS"/>
          <w:b w:val="0"/>
        </w:rPr>
        <w:t>把规范依据、概念解释和正误案例结合起来，让学生有机会理解并完成修改。教师可以根据阶段控制提示深度，兼顾学习支持与独立考查。</w:t>
      </w:r>
    </w:p>
    <w:p w14:paraId="0A4A728A">
      <w:pPr>
        <w:pStyle w:val="4"/>
      </w:pPr>
      <w:r>
        <w:rPr>
          <w:rFonts w:ascii="Arial Unicode MS" w:hAnsi="Arial Unicode MS" w:eastAsia="Arial Unicode MS" w:cs="Arial Unicode MS"/>
        </w:rPr>
        <w:t>优势四：结果能够核对，争议能够处理</w:t>
      </w:r>
    </w:p>
    <w:p w14:paraId="03DBEC7A">
      <w:r>
        <w:rPr>
          <w:rFonts w:ascii="Arial Unicode MS" w:hAnsi="Arial Unicode MS" w:eastAsia="Arial Unicode MS" w:cs="Arial Unicode MS"/>
          <w:b w:val="0"/>
        </w:rPr>
        <w:t>呈现图面位置、判断依据和待确认条件，区分识读疑点、参考差异与明确问题。教师和企业导师能够参与专业把关，学生也能学习如何查证AI意见。</w:t>
      </w:r>
    </w:p>
    <w:p w14:paraId="7F872484">
      <w:pPr>
        <w:pStyle w:val="4"/>
      </w:pPr>
      <w:r>
        <w:rPr>
          <w:rFonts w:ascii="Arial Unicode MS" w:hAnsi="Arial Unicode MS" w:eastAsia="Arial Unicode MS" w:cs="Arial Unicode MS"/>
        </w:rPr>
        <w:t>优势五：企业经验可以成为持续积累的教学资源</w:t>
      </w:r>
    </w:p>
    <w:p w14:paraId="189178B1">
      <w:r>
        <w:rPr>
          <w:rFonts w:ascii="Arial Unicode MS" w:hAnsi="Arial Unicode MS" w:eastAsia="Arial Unicode MS" w:cs="Arial Unicode MS"/>
          <w:b w:val="0"/>
        </w:rPr>
        <w:t>将企业任务、校审经验与经确认的案例转化为可复用资源，使岗位要求融入课堂。资源更新需要审核，不将一次意见自动推广到所有图纸。</w:t>
      </w:r>
    </w:p>
    <w:p w14:paraId="5267E8FC">
      <w:r>
        <w:rPr>
          <w:rFonts w:ascii="Arial Unicode MS" w:hAnsi="Arial Unicode MS" w:eastAsia="Arial Unicode MS" w:cs="Arial Unicode MS"/>
          <w:b w:val="0"/>
        </w:rPr>
        <w:t>以上是产品能力与应用设计的特点，不作行业首创或对其他产品性能的未经验证比较。</w:t>
      </w:r>
    </w:p>
    <w:p w14:paraId="2F42B041">
      <w:pPr>
        <w:pStyle w:val="3"/>
      </w:pPr>
      <w:r>
        <w:rPr>
          <w:rFonts w:ascii="Arial Unicode MS" w:hAnsi="Arial Unicode MS" w:eastAsia="Arial Unicode MS" w:cs="Arial Unicode MS"/>
        </w:rPr>
        <w:t>十、企业怎样使用：把能力用于制图与评审</w:t>
      </w:r>
    </w:p>
    <w:p w14:paraId="44FA3959">
      <w:r>
        <w:rPr>
          <w:rFonts w:ascii="Arial Unicode MS" w:hAnsi="Arial Unicode MS" w:eastAsia="Arial Unicode MS" w:cs="Arial Unicode MS"/>
          <w:b w:val="0"/>
        </w:rPr>
        <w:t>企业场景中的“评判”是图纸专业审查，不是学生打分。产品拟支持以下使用过程，具体检查范围由企业确认。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664"/>
        <w:gridCol w:w="2952"/>
        <w:gridCol w:w="2736"/>
      </w:tblGrid>
      <w:tr w14:paraId="04F02FF6">
        <w:trPr>
          <w:cantSplit/>
          <w:tblHeader/>
          <w:jc w:val="center"/>
        </w:trPr>
        <w:tc>
          <w:tcPr>
            <w:tcW w:w="1584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75CFAFCC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使用环节</w:t>
            </w:r>
          </w:p>
        </w:tc>
        <w:tc>
          <w:tcPr>
            <w:tcW w:w="2664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0A37B85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使用者怎样操作</w:t>
            </w:r>
          </w:p>
        </w:tc>
        <w:tc>
          <w:tcPr>
            <w:tcW w:w="2952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128B419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产品提供的支持</w:t>
            </w:r>
          </w:p>
        </w:tc>
        <w:tc>
          <w:tcPr>
            <w:tcW w:w="2736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A8EC8EE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人员把关的内容</w:t>
            </w:r>
          </w:p>
        </w:tc>
      </w:tr>
      <w:tr w14:paraId="16B6C059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050F677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制图员自检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BFBA355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提交初稿，选定适用任务与检查要求</w:t>
            </w:r>
          </w:p>
        </w:tc>
        <w:tc>
          <w:tcPr>
            <w:tcW w:w="295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25EFD7F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定位表达、标注及一致性疑点，说明依据</w:t>
            </w:r>
          </w:p>
        </w:tc>
        <w:tc>
          <w:tcPr>
            <w:tcW w:w="27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19C7C4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核对实际对象与设计意图，决定如何修改</w:t>
            </w:r>
          </w:p>
        </w:tc>
      </w:tr>
      <w:tr w14:paraId="667D13FD">
        <w:trPr>
          <w:cantSplit/>
          <w:jc w:val="center"/>
        </w:trPr>
        <w:tc>
          <w:tcPr>
            <w:tcW w:w="1584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4CC04F3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图纸校审</w:t>
            </w:r>
          </w:p>
        </w:tc>
        <w:tc>
          <w:tcPr>
            <w:tcW w:w="2664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40C3EC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查看问题清单与图面证据，逐项复核</w:t>
            </w:r>
          </w:p>
        </w:tc>
        <w:tc>
          <w:tcPr>
            <w:tcW w:w="2952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CB70D89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区分明确问题、参考差异与待确认内容，辅助归集校审意见</w:t>
            </w:r>
          </w:p>
        </w:tc>
        <w:tc>
          <w:tcPr>
            <w:tcW w:w="2736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51954CB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判断要求是否适用，处理例外、遗漏和争议</w:t>
            </w:r>
          </w:p>
        </w:tc>
      </w:tr>
      <w:tr w14:paraId="3B762346">
        <w:trPr>
          <w:cantSplit/>
          <w:jc w:val="center"/>
        </w:trPr>
        <w:tc>
          <w:tcPr>
            <w:tcW w:w="158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654E823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工艺协同</w:t>
            </w:r>
          </w:p>
        </w:tc>
        <w:tc>
          <w:tcPr>
            <w:tcW w:w="2664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93DAFE4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围绕材料、结构和工艺要求补充条件</w:t>
            </w:r>
          </w:p>
        </w:tc>
        <w:tc>
          <w:tcPr>
            <w:tcW w:w="2952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A99C52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解释已知条件下的合理性，提示缺失资料</w:t>
            </w:r>
          </w:p>
        </w:tc>
        <w:tc>
          <w:tcPr>
            <w:tcW w:w="2736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3413C7CB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作出工艺路线、参数与可制造性等专业决策</w:t>
            </w:r>
          </w:p>
        </w:tc>
      </w:tr>
      <w:tr w14:paraId="12E8A305">
        <w:trPr>
          <w:cantSplit/>
          <w:jc w:val="center"/>
        </w:trPr>
        <w:tc>
          <w:tcPr>
            <w:tcW w:w="1584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BD03DC1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修改复审</w:t>
            </w:r>
          </w:p>
        </w:tc>
        <w:tc>
          <w:tcPr>
            <w:tcW w:w="2664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383C92A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提交新版图纸并说明修改内容</w:t>
            </w:r>
          </w:p>
        </w:tc>
        <w:tc>
          <w:tcPr>
            <w:tcW w:w="2952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AB5FA07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核对原问题及关联影响，保留版本对应记录</w:t>
            </w:r>
          </w:p>
        </w:tc>
        <w:tc>
          <w:tcPr>
            <w:tcW w:w="2736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606F91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确认问题关闭，完成企业规定的审核与批准</w:t>
            </w:r>
          </w:p>
        </w:tc>
      </w:tr>
    </w:tbl>
    <w:p w14:paraId="7B5FA326">
      <w:pPr>
        <w:spacing w:after="20"/>
      </w:pPr>
    </w:p>
    <w:p w14:paraId="663E1062">
      <w:r>
        <w:rPr>
          <w:rFonts w:ascii="Arial Unicode MS" w:hAnsi="Arial Unicode MS" w:eastAsia="Arial Unicode MS" w:cs="Arial Unicode MS"/>
          <w:b w:val="0"/>
        </w:rPr>
        <w:t>对企业人员，反馈同样需要讲清“哪一处、什么对象、有什么问题、依据是什么、建议怎么改”。产品可辅助组织评审，不以自动输出代替企业规定的审核签字，也不在缺少设计条件时替企业决定材料、公差或工艺参数。</w:t>
      </w:r>
    </w:p>
    <w:p w14:paraId="51E21595">
      <w:pPr>
        <w:pStyle w:val="4"/>
      </w:pPr>
      <w:r>
        <w:rPr>
          <w:rFonts w:ascii="Arial Unicode MS" w:hAnsi="Arial Unicode MS" w:eastAsia="Arial Unicode MS" w:cs="Arial Unicode MS"/>
        </w:rPr>
        <w:t>从企业评审到教学与研究</w:t>
      </w:r>
    </w:p>
    <w:p w14:paraId="2221427D">
      <w:pPr>
        <w:pStyle w:val="16"/>
      </w:pPr>
      <w:r>
        <w:rPr>
          <w:rFonts w:ascii="Arial Unicode MS" w:hAnsi="Arial Unicode MS" w:eastAsia="Arial Unicode MS" w:cs="Arial Unicode MS"/>
          <w:b/>
        </w:rPr>
        <w:t>产：</w:t>
      </w:r>
      <w:r>
        <w:rPr>
          <w:rFonts w:ascii="Arial Unicode MS" w:hAnsi="Arial Unicode MS" w:eastAsia="Arial Unicode MS" w:cs="Arial Unicode MS"/>
          <w:b w:val="0"/>
        </w:rPr>
        <w:t xml:space="preserve"> 企业提供经授权的真实任务与岗位要求，专业人员参与案例确认、规则适用和图纸评审。</w:t>
      </w:r>
    </w:p>
    <w:p w14:paraId="05E10345">
      <w:pPr>
        <w:pStyle w:val="16"/>
      </w:pPr>
      <w:r>
        <w:rPr>
          <w:rFonts w:ascii="Arial Unicode MS" w:hAnsi="Arial Unicode MS" w:eastAsia="Arial Unicode MS" w:cs="Arial Unicode MS"/>
          <w:b/>
        </w:rPr>
        <w:t>学：</w:t>
      </w:r>
      <w:r>
        <w:rPr>
          <w:rFonts w:ascii="Arial Unicode MS" w:hAnsi="Arial Unicode MS" w:eastAsia="Arial Unicode MS" w:cs="Arial Unicode MS"/>
          <w:b w:val="0"/>
        </w:rPr>
        <w:t xml:space="preserve"> 学校把任务转化为学习活动，学生练习绘制、自检、解释、修改与交付，学习岗位质量习惯。</w:t>
      </w:r>
    </w:p>
    <w:p w14:paraId="31C1CE39">
      <w:pPr>
        <w:pStyle w:val="16"/>
      </w:pPr>
      <w:r>
        <w:rPr>
          <w:rFonts w:ascii="Arial Unicode MS" w:hAnsi="Arial Unicode MS" w:eastAsia="Arial Unicode MS" w:cs="Arial Unicode MS"/>
          <w:b/>
        </w:rPr>
        <w:t>研：</w:t>
      </w:r>
      <w:r>
        <w:rPr>
          <w:rFonts w:ascii="Arial Unicode MS" w:hAnsi="Arial Unicode MS" w:eastAsia="Arial Unicode MS" w:cs="Arial Unicode MS"/>
          <w:b w:val="0"/>
        </w:rPr>
        <w:t xml:space="preserve"> 校企专家围绕经确认的问题和匿名应用记录，研究哪些错误容易发生、哪些指导有效，以及工具在哪些条件下需要改进。</w:t>
      </w:r>
    </w:p>
    <w:p w14:paraId="60678431">
      <w:r>
        <w:rPr>
          <w:rFonts w:ascii="Arial Unicode MS" w:hAnsi="Arial Unicode MS" w:eastAsia="Arial Unicode MS" w:cs="Arial Unicode MS"/>
          <w:b w:val="0"/>
        </w:rPr>
        <w:t>企业任务、专业经验、教学案例和研究反馈形成有审核的循环。案例进入教学前脱敏，课堂表现与企业质量数据分别统计；学生作品或某次校审意见，不会未经确认就自动成为通用专业结论。</w:t>
      </w:r>
    </w:p>
    <w:p w14:paraId="18023CCF">
      <w:pPr>
        <w:pStyle w:val="3"/>
      </w:pPr>
      <w:r>
        <w:rPr>
          <w:rFonts w:ascii="Arial Unicode MS" w:hAnsi="Arial Unicode MS" w:eastAsia="Arial Unicode MS" w:cs="Arial Unicode MS"/>
        </w:rPr>
        <w:t>十一、如何融入教、学、评、研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4090"/>
        <w:gridCol w:w="4090"/>
      </w:tblGrid>
      <w:tr w14:paraId="573C12A0">
        <w:trPr>
          <w:cantSplit/>
          <w:tblHeader/>
          <w:jc w:val="center"/>
        </w:trPr>
        <w:tc>
          <w:tcPr>
            <w:tcW w:w="1757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1F339E4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环节</w:t>
            </w:r>
          </w:p>
        </w:tc>
        <w:tc>
          <w:tcPr>
            <w:tcW w:w="4090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F3DFCC5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主要应用</w:t>
            </w:r>
          </w:p>
        </w:tc>
        <w:tc>
          <w:tcPr>
            <w:tcW w:w="4090" w:type="dxa"/>
            <w:shd w:val="clear" w:color="auto" w:fill="16344B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51E3F58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21"/>
              </w:rPr>
              <w:t>应当关注的真实价值</w:t>
            </w:r>
          </w:p>
        </w:tc>
      </w:tr>
      <w:tr w14:paraId="11AA7EF0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C6E38A9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教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7651B23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企业任务导入、典型问题讲解、个别指导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EEC4C05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教师能否更及时地回应学生困难</w:t>
            </w:r>
          </w:p>
        </w:tc>
      </w:tr>
      <w:tr w14:paraId="12D3A0ED">
        <w:trPr>
          <w:cantSplit/>
          <w:jc w:val="center"/>
        </w:trPr>
        <w:tc>
          <w:tcPr>
            <w:tcW w:w="175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68E6512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学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1CC833B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本人作品检查、分层提示、自主修改与复检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6656B3B2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学生能否理解并独立纠错</w:t>
            </w:r>
          </w:p>
        </w:tc>
      </w:tr>
      <w:tr w14:paraId="0C332B86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0F31F19E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评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2BCFD840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自评互评、教师复核、企业校审及过程记录</w:t>
            </w:r>
          </w:p>
        </w:tc>
        <w:tc>
          <w:tcPr>
            <w:tcW w:w="4090" w:type="dxa"/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46DD247D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能否同时看见作品质量、判断理由与独立表现</w:t>
            </w:r>
          </w:p>
        </w:tc>
      </w:tr>
      <w:tr w14:paraId="112356C2">
        <w:trPr>
          <w:cantSplit/>
          <w:jc w:val="center"/>
        </w:trPr>
        <w:tc>
          <w:tcPr>
            <w:tcW w:w="1757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54205BB5">
            <w:pPr>
              <w:spacing w:after="0" w:line="320" w:lineRule="exact"/>
              <w:jc w:val="lef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研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BFF34C9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匿名整理经确认的问题与指导案例，分析误提示</w:t>
            </w:r>
          </w:p>
        </w:tc>
        <w:tc>
          <w:tcPr>
            <w:tcW w:w="4090" w:type="dxa"/>
            <w:shd w:val="clear" w:color="auto" w:fill="F0F4F7"/>
            <w:tcMar>
              <w:top w:w="95" w:type="dxa"/>
              <w:left w:w="110" w:type="dxa"/>
              <w:bottom w:w="95" w:type="dxa"/>
              <w:right w:w="110" w:type="dxa"/>
            </w:tcMar>
            <w:vAlign w:val="center"/>
          </w:tcPr>
          <w:p w14:paraId="19C832DB">
            <w:pPr>
              <w:spacing w:after="0" w:line="320" w:lineRule="exact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21"/>
              </w:rPr>
              <w:t>能否支持教学调整，而非只增加记录负担</w:t>
            </w:r>
          </w:p>
        </w:tc>
      </w:tr>
    </w:tbl>
    <w:p w14:paraId="2C423F86">
      <w:pPr>
        <w:spacing w:after="20"/>
      </w:pPr>
    </w:p>
    <w:p w14:paraId="156790DC">
      <w:r>
        <w:rPr>
          <w:rFonts w:ascii="Arial Unicode MS" w:hAnsi="Arial Unicode MS" w:eastAsia="Arial Unicode MS" w:cs="Arial Unicode MS"/>
          <w:b w:val="0"/>
        </w:rPr>
        <w:t>可围绕一个企业任务组织完整教学单元，展示“初稿—指导—修改—复检—独立任务”的过程。企业技术骨干参与任务选择与专业校审，专业课教师、文化课教师及高校专家分别提供教学、表达与评价支持。具体教案、团队和视频围绕真实实施安排编制。</w:t>
      </w:r>
    </w:p>
    <w:p w14:paraId="27A35C87">
      <w:pPr>
        <w:pStyle w:val="3"/>
      </w:pPr>
      <w:r>
        <w:rPr>
          <w:rFonts w:ascii="Arial Unicode MS" w:hAnsi="Arial Unicode MS" w:eastAsia="Arial Unicode MS" w:cs="Arial Unicode MS"/>
        </w:rPr>
        <w:t>十二、目标态应用价值与验证</w:t>
      </w:r>
    </w:p>
    <w:p w14:paraId="3020D64F">
      <w:r>
        <w:rPr>
          <w:rFonts w:ascii="Arial Unicode MS" w:hAnsi="Arial Unicode MS" w:eastAsia="Arial Unicode MS" w:cs="Arial Unicode MS"/>
          <w:b w:val="0"/>
        </w:rPr>
        <w:t>以高精度识图引擎获取图面事实，以三方向专业知识支持工程理解与判断，再将结论转化为解释、修改指导与复检。具体应用须明确图纸类型、检查范围和专业条件，通过实际使用验证后逐步推广。</w:t>
      </w:r>
    </w:p>
    <w:p w14:paraId="19CB4B1D">
      <w:pPr>
        <w:rPr>
          <w:rFonts w:hint="eastAsia" w:eastAsia="Arial Unicode MS"/>
          <w:lang w:val="en-US" w:eastAsia="zh-CN"/>
        </w:rPr>
      </w:pPr>
      <w:r>
        <w:rPr>
          <w:rFonts w:ascii="Arial Unicode MS" w:hAnsi="Arial Unicode MS" w:eastAsia="Arial Unicode MS" w:cs="Arial Unicode MS"/>
          <w:b w:val="0"/>
        </w:rPr>
        <w:t>对学校，价值在于把一对一指导更及时地带入作品练习，支持有依据的过程评价。对企业，价值在于将岗位要求和质量习惯带入人才培养。对客户与投资人，价值在于以明确教学场景验证产品，并逐步积累专业资源与可复用的教学使用方式。</w:t>
      </w:r>
      <w:bookmarkStart w:id="0" w:name="_GoBack"/>
      <w:bookmarkEnd w:id="0"/>
    </w:p>
    <w:p w14:paraId="1AE61112">
      <w:r>
        <w:rPr>
          <w:rFonts w:ascii="Arial Unicode MS" w:hAnsi="Arial Unicode MS" w:eastAsia="Arial Unicode MS" w:cs="Arial Unicode MS"/>
          <w:b w:val="0"/>
        </w:rPr>
        <w:t>试点应关注学生独立纠错和迁移表现、反馈等待时间、教师整体辅导负担、企业校审意见，以及产品误提示与运行稳定性。预期方向是指导更及时、学习更自主、作品更规范；具体成效以课堂证据验证，不以识图效果代替教学成果，也不预设收益和提升比例。</w:t>
      </w:r>
    </w:p>
    <w:p w14:paraId="5EDFFFDF">
      <w:pPr>
        <w:pStyle w:val="3"/>
      </w:pPr>
      <w:r>
        <w:rPr>
          <w:rFonts w:ascii="Arial Unicode MS" w:hAnsi="Arial Unicode MS" w:eastAsia="Arial Unicode MS" w:cs="Arial Unicode MS"/>
        </w:rPr>
        <w:t>结语</w:t>
      </w:r>
    </w:p>
    <w:p w14:paraId="711AB72C">
      <w:r>
        <w:rPr>
          <w:rFonts w:ascii="Arial Unicode MS" w:hAnsi="Arial Unicode MS" w:eastAsia="Arial Unicode MS" w:cs="Arial Unicode MS"/>
          <w:b w:val="0"/>
        </w:rPr>
        <w:t>“匠学·图纸助教”的目标，是把可靠识读、专业知识、规范判断和实践经验联系起来。</w:t>
      </w:r>
    </w:p>
    <w:p w14:paraId="2BCAA0C7">
      <w:r>
        <w:rPr>
          <w:rFonts w:ascii="Arial Unicode MS" w:hAnsi="Arial Unicode MS" w:eastAsia="Arial Unicode MS" w:cs="Arial Unicode MS"/>
          <w:b/>
        </w:rPr>
        <w:t>像经验丰富的老师傅一样，看清图纸、看懂对象，能评判哪里需要改，也能讲清为什么这样画、怎样才能做好。</w:t>
      </w:r>
    </w:p>
    <w:p w14:paraId="22566580">
      <w:r>
        <w:rPr>
          <w:rFonts w:ascii="Arial Unicode MS" w:hAnsi="Arial Unicode MS" w:eastAsia="Arial Unicode MS" w:cs="Arial Unicode MS"/>
          <w:b w:val="0"/>
        </w:rPr>
        <w:t>在课堂，它支持学生逐步学会；在企业，它辅助人员完成制图评审；在产学研协同中，它让经确认的经验转化为可复用、可验证的专业资源。</w:t>
      </w:r>
    </w:p>
    <w:sectPr>
      <w:footerReference r:id="rId5" w:type="default"/>
      <w:pgSz w:w="12240" w:h="15840"/>
      <w:pgMar w:top="936" w:right="1152" w:bottom="936" w:left="1152" w:header="403" w:footer="403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AC139E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FFA355"/>
    <w:rsid w:val="3EFF7702"/>
    <w:rsid w:val="5A973C7D"/>
    <w:rsid w:val="767C8007"/>
    <w:rsid w:val="7EFED4AF"/>
    <w:rsid w:val="BB373BE3"/>
    <w:rsid w:val="E7BFB368"/>
    <w:rsid w:val="FD1F5171"/>
    <w:rsid w:val="FFEFF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60" w:lineRule="exact"/>
    </w:pPr>
    <w:rPr>
      <w:rFonts w:ascii="Arial Unicode MS" w:hAnsi="Arial Unicode MS" w:eastAsia="Arial Unicode MS" w:cs="Arial Unicode MS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60" w:after="140" w:line="440" w:lineRule="exact"/>
      <w:outlineLvl w:val="0"/>
    </w:pPr>
    <w:rPr>
      <w:rFonts w:ascii="Arial Unicode MS" w:hAnsi="Arial Unicode MS" w:eastAsia="Arial Unicode MS" w:cs="Arial Unicode MS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00" w:after="100" w:line="360" w:lineRule="exact"/>
      <w:outlineLvl w:val="1"/>
    </w:pPr>
    <w:rPr>
      <w:rFonts w:ascii="Arial Unicode MS" w:hAnsi="Arial Unicode MS" w:eastAsia="Arial Unicode MS" w:cs="Arial Unicode MS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pacing w:before="160" w:after="80" w:line="360" w:lineRule="exact"/>
      <w:outlineLvl w:val="2"/>
    </w:pPr>
    <w:rPr>
      <w:rFonts w:ascii="Arial Unicode MS" w:hAnsi="Arial Unicode MS" w:eastAsia="Arial Unicode MS" w:cs="Arial Unicode MS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Arial Unicode MS" w:hAnsi="Arial Unicode MS" w:eastAsia="Arial Unicode MS" w:cs="Arial Unicode MS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ascii="Arial Unicode MS" w:hAnsi="Arial Unicode MS" w:eastAsia="Arial Unicode MS" w:cs="Arial Unicode MS"/>
    </w:rPr>
  </w:style>
  <w:style w:type="table" w:default="1" w:styleId="32">
    <w:name w:val="Normal Table"/>
    <w:semiHidden/>
    <w:unhideWhenUsed/>
    <w:uiPriority w:val="99"/>
    <w:rPr>
      <w:rFonts w:ascii="Arial Unicode MS" w:hAnsi="Arial Unicode MS" w:eastAsia="Arial Unicode MS" w:cs="Arial Unicode M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Arial Unicode MS" w:cs="Arial Unicode MS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Arial Unicode MS" w:hAnsi="Arial Unicode MS" w:eastAsia="Arial Unicode MS" w:cs="Arial Unicode MS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Arial Unicode MS" w:hAnsi="Arial Unicode MS" w:eastAsia="Arial Unicode MS" w:cs="Arial Unicode MS"/>
    </w:rPr>
  </w:style>
  <w:style w:type="paragraph" w:styleId="14">
    <w:name w:val="List Number"/>
    <w:basedOn w:val="1"/>
    <w:unhideWhenUsed/>
    <w:uiPriority w:val="99"/>
    <w:pPr>
      <w:widowControl/>
      <w:numPr>
        <w:ilvl w:val="0"/>
        <w:numId w:val="2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before="80" w:after="180" w:line="240" w:lineRule="exact"/>
    </w:pPr>
    <w:rPr>
      <w:rFonts w:ascii="Arial Unicode MS" w:hAnsi="Arial Unicode MS" w:eastAsia="Arial Unicode MS" w:cs="Arial Unicode MS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widowControl/>
      <w:numPr>
        <w:ilvl w:val="0"/>
        <w:numId w:val="3"/>
      </w:numPr>
      <w:contextualSpacing/>
    </w:pPr>
    <w:rPr>
      <w:rFonts w:ascii="Arial Unicode MS" w:hAnsi="Arial Unicode MS" w:eastAsia="Arial Unicode MS" w:cs="Arial Unicode MS"/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ascii="Arial Unicode MS" w:hAnsi="Arial Unicode MS" w:eastAsia="Arial Unicode MS" w:cs="Arial Unicode MS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Arial Unicode MS" w:hAnsi="Arial Unicode MS" w:eastAsia="Arial Unicode MS" w:cs="Arial Unicode MS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Arial Unicode MS" w:hAnsi="Arial Unicode MS" w:eastAsia="Arial Unicode MS" w:cs="Arial Unicode MS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ascii="Arial Unicode MS" w:hAnsi="Arial Unicode MS" w:eastAsia="Arial Unicode MS" w:cs="Arial Unicode MS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Arial Unicode MS" w:hAnsi="Arial Unicode MS" w:eastAsia="Arial Unicode MS" w:cs="Arial Unicode MS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Arial Unicode MS" w:hAnsi="Arial Unicode MS" w:eastAsia="Arial Unicode MS" w:cs="Arial Unicode MS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Arial Unicode MS" w:hAnsi="Arial Unicode MS" w:eastAsia="Arial Unicode MS" w:cs="Arial Unicode MS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 w:cs="Arial Unicode MS"/>
    </w:rPr>
  </w:style>
  <w:style w:type="paragraph" w:styleId="26">
    <w:name w:val="Subtitle"/>
    <w:basedOn w:val="1"/>
    <w:next w:val="1"/>
    <w:link w:val="142"/>
    <w:qFormat/>
    <w:uiPriority w:val="11"/>
    <w:pPr>
      <w:keepNext/>
      <w:widowControl/>
      <w:spacing w:before="0" w:after="100" w:line="360" w:lineRule="exact"/>
    </w:pPr>
    <w:rPr>
      <w:rFonts w:ascii="Arial Unicode MS" w:hAnsi="Arial Unicode MS" w:eastAsia="Arial Unicode MS" w:cs="Arial Unicode MS"/>
      <w:iCs/>
      <w:color w:val="000000"/>
      <w:spacing w:val="15"/>
      <w:sz w:val="26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ascii="Arial Unicode MS" w:hAnsi="Arial Unicode MS" w:eastAsia="Arial Unicode MS" w:cs="Arial Unicode MS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Arial Unicode MS" w:hAnsi="Arial Unicode MS" w:eastAsia="Arial Unicode MS" w:cs="Arial Unicode MS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ascii="Arial Unicode MS" w:hAnsi="Arial Unicode MS" w:eastAsia="Arial Unicode MS" w:cs="Arial Unicode MS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ascii="Arial Unicode MS" w:hAnsi="Arial Unicode MS" w:eastAsia="Arial Unicode MS" w:cs="Arial Unicode MS"/>
    </w:rPr>
  </w:style>
  <w:style w:type="paragraph" w:styleId="31">
    <w:name w:val="Title"/>
    <w:basedOn w:val="1"/>
    <w:next w:val="1"/>
    <w:link w:val="141"/>
    <w:qFormat/>
    <w:uiPriority w:val="10"/>
    <w:pPr>
      <w:keepNext/>
      <w:widowControl/>
      <w:spacing w:before="0" w:after="160" w:line="600" w:lineRule="exact"/>
      <w:contextualSpacing/>
    </w:pPr>
    <w:rPr>
      <w:rFonts w:ascii="Arial Unicode MS" w:hAnsi="Arial Unicode MS" w:eastAsia="Arial Unicode MS" w:cs="Arial Unicode MS"/>
      <w:b/>
      <w:color w:val="000000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ascii="Arial Unicode MS" w:hAnsi="Arial Unicode MS" w:eastAsia="Arial Unicode MS" w:cs="Arial Unicode MS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rPr>
      <w:rFonts w:ascii="Arial Unicode MS" w:hAnsi="Arial Unicode MS" w:eastAsia="Arial Unicode MS" w:cs="Arial Unicode MS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ascii="Arial Unicode MS" w:hAnsi="Arial Unicode MS" w:eastAsia="Arial Unicode MS" w:cs="Arial Unicode MS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ascii="Arial Unicode MS" w:hAnsi="Arial Unicode MS" w:eastAsia="Arial Unicode MS" w:cs="Arial Unicode MS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Arial Unicode MS" w:hAnsi="Arial Unicode MS" w:eastAsia="Arial Unicode MS" w:cs="Arial Unicode MS"/>
      <w:b/>
      <w:bCs/>
    </w:rPr>
  </w:style>
  <w:style w:type="character" w:styleId="134">
    <w:name w:val="Emphasis"/>
    <w:basedOn w:val="132"/>
    <w:qFormat/>
    <w:uiPriority w:val="20"/>
    <w:rPr>
      <w:rFonts w:ascii="Arial Unicode MS" w:hAnsi="Arial Unicode MS" w:eastAsia="Arial Unicode MS" w:cs="Arial Unicode MS"/>
      <w:i/>
      <w:iCs/>
    </w:rPr>
  </w:style>
  <w:style w:type="character" w:customStyle="1" w:styleId="135">
    <w:name w:val="Header Char"/>
    <w:basedOn w:val="132"/>
    <w:link w:val="25"/>
    <w:uiPriority w:val="99"/>
    <w:rPr>
      <w:rFonts w:ascii="Arial Unicode MS" w:hAnsi="Arial Unicode MS" w:eastAsia="Arial Unicode MS" w:cs="Arial Unicode MS"/>
    </w:rPr>
  </w:style>
  <w:style w:type="character" w:customStyle="1" w:styleId="136">
    <w:name w:val="Footer Char"/>
    <w:basedOn w:val="132"/>
    <w:link w:val="24"/>
    <w:uiPriority w:val="99"/>
    <w:rPr>
      <w:rFonts w:ascii="Arial Unicode MS" w:hAnsi="Arial Unicode MS" w:eastAsia="Arial Unicode MS" w:cs="Arial Unicode MS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Arial Unicode MS" w:hAnsi="Arial Unicode MS" w:eastAsia="Arial Unicode MS" w:cs="Arial Unicode MS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="Arial Unicode MS" w:hAnsi="Arial Unicode MS" w:eastAsia="Arial Unicode MS" w:cs="Arial Unicode MS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="Arial Unicode MS" w:hAnsi="Arial Unicode MS" w:eastAsia="Arial Unicode MS" w:cs="Arial Unicode MS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="Arial Unicode MS" w:hAnsi="Arial Unicode MS" w:eastAsia="Arial Unicode MS" w:cs="Arial Unicode MS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="Arial Unicode MS" w:hAnsi="Arial Unicode MS" w:eastAsia="Arial Unicode MS" w:cs="Arial Unicode MS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="Arial Unicode MS" w:hAnsi="Arial Unicode MS" w:eastAsia="Arial Unicode MS" w:cs="Arial Unicode MS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Arial Unicode MS" w:hAnsi="Arial Unicode MS" w:eastAsia="Arial Unicode MS" w:cs="Arial Unicode MS"/>
    </w:rPr>
  </w:style>
  <w:style w:type="character" w:customStyle="1" w:styleId="144">
    <w:name w:val="Body Text Char"/>
    <w:basedOn w:val="132"/>
    <w:link w:val="19"/>
    <w:uiPriority w:val="99"/>
    <w:rPr>
      <w:rFonts w:ascii="Arial Unicode MS" w:hAnsi="Arial Unicode MS" w:eastAsia="Arial Unicode MS" w:cs="Arial Unicode MS"/>
    </w:rPr>
  </w:style>
  <w:style w:type="character" w:customStyle="1" w:styleId="145">
    <w:name w:val="Body Text 2 Char"/>
    <w:basedOn w:val="132"/>
    <w:link w:val="28"/>
    <w:uiPriority w:val="99"/>
    <w:rPr>
      <w:rFonts w:ascii="Arial Unicode MS" w:hAnsi="Arial Unicode MS" w:eastAsia="Arial Unicode MS" w:cs="Arial Unicode MS"/>
    </w:rPr>
  </w:style>
  <w:style w:type="character" w:customStyle="1" w:styleId="146">
    <w:name w:val="Body Text 3 Char"/>
    <w:basedOn w:val="132"/>
    <w:link w:val="17"/>
    <w:uiPriority w:val="99"/>
    <w:rPr>
      <w:rFonts w:ascii="Arial Unicode MS" w:hAnsi="Arial Unicode MS" w:eastAsia="Arial Unicode MS" w:cs="Arial Unicode MS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Arial Unicode MS" w:hAnsi="Arial Unicode MS" w:eastAsia="Arial Unicode MS" w:cs="Arial Unicode MS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ascii="Arial Unicode MS" w:hAnsi="Arial Unicode MS" w:eastAsia="Arial Unicode MS" w:cs="Arial Unicode MS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="Arial Unicode MS" w:hAnsi="Arial Unicode MS" w:eastAsia="Arial Unicode MS" w:cs="Arial Unicode MS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="Arial Unicode MS" w:hAnsi="Arial Unicode MS" w:eastAsia="Arial Unicode MS" w:cs="Arial Unicode MS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="Arial Unicode MS" w:hAnsi="Arial Unicode MS" w:eastAsia="Arial Unicode MS" w:cs="Arial Unicode MS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="Arial Unicode MS" w:hAnsi="Arial Unicode MS" w:eastAsia="Arial Unicode MS" w:cs="Arial Unicode MS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ascii="Arial Unicode MS" w:hAnsi="Arial Unicode MS" w:eastAsia="Arial Unicode MS" w:cs="Arial Unicode MS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ascii="Arial Unicode MS" w:hAnsi="Arial Unicode MS" w:eastAsia="Arial Unicode MS" w:cs="Arial Unicode MS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ascii="Arial Unicode MS" w:hAnsi="Arial Unicode MS" w:eastAsia="Arial Unicode MS" w:cs="Arial Unicode MS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ascii="Arial Unicode MS" w:hAnsi="Arial Unicode MS" w:eastAsia="Arial Unicode MS" w:cs="Arial Unicode MS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ascii="Arial Unicode MS" w:hAnsi="Arial Unicode MS" w:eastAsia="Arial Unicode MS" w:cs="Arial Unicode MS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Arial Unicode MS" w:hAnsi="Arial Unicode MS" w:eastAsia="Arial Unicode MS" w:cs="Arial Unicode M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杜大同(菜鸟-地网运输技术部 剑笑)</dc:creator>
  <cp:lastModifiedBy>杜大同(菜鸟-地网运输技术部 剑笑)</cp:lastModifiedBy>
  <dcterms:modified xsi:type="dcterms:W3CDTF">2026-10-15T19:22:02Z</dcterms:modified>
  <dc:subject>AI赋能 产教融合</dc:subject>
  <dc:title>匠学图纸助教 核心能力与产学研应用方案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8D33A4BD0BA82E55C7B6D06AA3076F6E_42</vt:lpwstr>
  </property>
</Properties>
</file>