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</w:p>
    <w:p>
      <w:pPr>
        <w:pStyle w:val="FirstParagraph"/>
      </w:pPr>
      <w:r>
        <w:drawing>
          <wp:inline>
            <wp:extent cx="1600200" cy="481476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logos_ine.svg" id="2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4814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3" w:name="epidemiología-nivel-avanzado---unidad-5"/>
    <w:p>
      <w:pPr>
        <w:pStyle w:val="Heading1"/>
      </w:pPr>
      <w:r>
        <w:t xml:space="preserve">Epidemiología: Nivel Avanzado - Unidad 5</w:t>
      </w:r>
    </w:p>
    <w:bookmarkStart w:id="32" w:name="práctica-regresión-de-poisson"/>
    <w:p>
      <w:pPr>
        <w:pStyle w:val="Heading2"/>
      </w:pPr>
      <w:r>
        <w:t xml:space="preserve">Práctica regresión de Poisson</w:t>
      </w:r>
    </w:p>
    <w:p>
      <w:pPr>
        <w:pStyle w:val="FirstParagraph"/>
      </w:pPr>
      <w:r>
        <w:t xml:space="preserve">En esta oportunidad les acercamos una base para practicar Regresión de Poisson y detectar la presencia de sobredispersión y exceso de ceros. Les recomendamos que intenten la resolución individual y consulten sus dudas con sus compañeros/as de grupo, y por supuesto en el foro, si no logran un consenso.</w:t>
      </w:r>
    </w:p>
    <w:bookmarkStart w:id="23" w:name="descripción-de-los-datos"/>
    <w:p>
      <w:pPr>
        <w:pStyle w:val="Heading3"/>
      </w:pPr>
      <w:r>
        <w:t xml:space="preserve">Descripción de los datos</w:t>
      </w:r>
    </w:p>
    <w:p>
      <w:pPr>
        <w:pStyle w:val="FirstParagraph"/>
      </w:pPr>
      <w:r>
        <w:t xml:space="preserve">La leptospirosis es una enfermedad zoonótica de distribución global, causada por espiroquetas del género</w:t>
      </w:r>
      <w:r>
        <w:t xml:space="preserve"> </w:t>
      </w:r>
      <w:r>
        <w:rPr>
          <w:i/>
          <w:iCs/>
        </w:rPr>
        <w:t xml:space="preserve">Leptospira</w:t>
      </w:r>
      <w:r>
        <w:t xml:space="preserve"> </w:t>
      </w:r>
      <w:r>
        <w:t xml:space="preserve">spp. La transmisión ocurre por contacto directo con la orina o fluidos corporales de mamíferos infectados, o indirectamente a través de agua, suelo o alimentos contaminados. El espectro clínico de la leptospirosis varía desde formas asintomáticas y cuadros febriles inespecíficos, hasta formas graves con hemorragia pulmonar, insuficiencia renal y hepática, o meningitis.</w:t>
      </w:r>
    </w:p>
    <w:p>
      <w:pPr>
        <w:pStyle w:val="BodyText"/>
      </w:pPr>
      <w:r>
        <w:t xml:space="preserve">En Argentina, la leptospirosis es una enfermedad de notificación obligatoria, siendo endémica en las provincias de Santa Fe, Entre Ríos y Buenos Aires. Estas zonas también experimentan brotes epidémicos en épocas de lluvias intensas, crecidas de ríos e inundaciones.</w:t>
      </w:r>
    </w:p>
    <w:p>
      <w:pPr>
        <w:pStyle w:val="BodyText"/>
      </w:pPr>
      <w:r>
        <w:t xml:space="preserve">El dataset</w:t>
      </w:r>
      <w:r>
        <w:t xml:space="preserve"> </w:t>
      </w:r>
      <w:r>
        <w:t xml:space="preserve">“</w:t>
      </w:r>
      <w:r>
        <w:rPr>
          <w:rStyle w:val="VerbatimChar"/>
        </w:rPr>
        <w:t xml:space="preserve">base_pois_lepto.txt</w:t>
      </w:r>
      <w:r>
        <w:t xml:space="preserve">”</w:t>
      </w:r>
      <w:r>
        <w:t xml:space="preserve"> </w:t>
      </w:r>
      <w:r>
        <w:t xml:space="preserve">contiene registros de casos de leptospirosis reportados al Sistema Nacional de Vigilancia de la Salud (SNVS) en la provincia de Santa Fe durante el periodo 2014-2017. Los datos son una adaptación con fines didácticos de los analizados en</w:t>
      </w:r>
      <w:r>
        <w:t xml:space="preserve"> </w:t>
      </w:r>
      <w:r>
        <w:t xml:space="preserve">Pujato et al. (2021)</w:t>
      </w:r>
      <w:r>
        <w:t xml:space="preserve"> </w:t>
      </w:r>
      <w:r>
        <w:t xml:space="preserve">y en la tesis doctoral de la Dra. Tamara Ricardo</w:t>
      </w:r>
      <w:r>
        <w:t xml:space="preserve"> </w:t>
      </w:r>
      <w:r>
        <w:t xml:space="preserve">(Ricardo 2019)</w:t>
      </w:r>
      <w:r>
        <w:t xml:space="preserve">.</w:t>
      </w:r>
    </w:p>
    <w:p>
      <w:pPr>
        <w:pStyle w:val="BodyText"/>
      </w:pPr>
      <w:r>
        <w:t xml:space="preserve">Las variables del estudio son: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F2E4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F2E4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Descripción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F2E4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Tipo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F2E4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Niveles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Año de reporte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factor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2010, 2011, 2012, 2013, 2014, 2015, 2016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Mes de reporte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factor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1, 2, 3, 4, 5, 6, 7, 8, 9, 10, 11, 12</w:t>
            </w:r>
          </w:p>
        </w:tc>
      </w:tr>
      <w:tr>
        <w:trPr>
          <w:trHeight w:val="360" w:hRule="auto"/>
        </w:trPr>
        body3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estacion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Estación del año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factor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Invierno, Otoño, Primavera, Verano</w:t>
            </w:r>
          </w:p>
        </w:tc>
      </w:tr>
      <w:tr>
        <w:trPr>
          <w:trHeight w:val="360" w:hRule="auto"/>
        </w:trPr>
        body4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ecoregion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Ecorregión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factor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Chaco Húmedo, Chaco Seco, Delta e Islas del Paraná, Espinal, Pampa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nom_depto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Departamento residencia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factor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DE JULIO, CASEROS, CASTELLANOS, CONSTITUCION, GARAY, GENERAL LOPEZ, GENERAL OBLIGADO, IRIONDO, LA CAPITAL, LAS COLONIAS, ROSARIO, SAN CRISTOBAL, SAN JAVIER, SAN JERONIMO, SAN JUSTO, SAN LORENZO, SAN MARTIN, VERA</w:t>
            </w:r>
          </w:p>
        </w:tc>
      </w:tr>
      <w:tr>
        <w:trPr>
          <w:trHeight w:val="360" w:hRule="auto"/>
        </w:trPr>
        body6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grupo_edad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Grupo etario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factor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0-9, 10-14, 15-24, 25-44, 45-64, 65+</w:t>
            </w:r>
          </w:p>
        </w:tc>
      </w:tr>
      <w:tr>
        <w:trPr>
          <w:trHeight w:val="360" w:hRule="auto"/>
        </w:trPr>
        body7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casos_lepto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Número de casos reportados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integer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poblacion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Población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integer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</w:tbl>
    <w:bookmarkEnd w:id="23"/>
    <w:bookmarkStart w:id="24" w:name="consignas-de-trabajo"/>
    <w:p>
      <w:pPr>
        <w:pStyle w:val="Heading3"/>
      </w:pPr>
      <w:r>
        <w:t xml:space="preserve">Consignas de trabajo</w:t>
      </w:r>
    </w:p>
    <w:p>
      <w:pPr>
        <w:numPr>
          <w:ilvl w:val="0"/>
          <w:numId w:val="1001"/>
        </w:numPr>
      </w:pPr>
      <w:r>
        <w:t xml:space="preserve">Explorar si existen valores faltantes y tomar decisiones al respecto.</w:t>
      </w:r>
    </w:p>
    <w:p>
      <w:pPr>
        <w:numPr>
          <w:ilvl w:val="0"/>
          <w:numId w:val="1001"/>
        </w:numPr>
      </w:pPr>
      <w:r>
        <w:t xml:space="preserve">Convertir las variables cualitativas a factor y chequear niveles de referencia.</w:t>
      </w:r>
    </w:p>
    <w:p>
      <w:pPr>
        <w:numPr>
          <w:ilvl w:val="0"/>
          <w:numId w:val="1001"/>
        </w:numPr>
      </w:pPr>
      <w:r>
        <w:t xml:space="preserve">Realizar el análisis bivariado de los datos: tanto para la relación entre variable dependiente y variables explicativas como entre variables explicativas.</w:t>
      </w:r>
    </w:p>
    <w:p>
      <w:pPr>
        <w:numPr>
          <w:ilvl w:val="0"/>
          <w:numId w:val="1001"/>
        </w:numPr>
      </w:pPr>
      <w:r>
        <w:t xml:space="preserve">Ajustar modelos saturados y realizar un proceso de selección</w:t>
      </w:r>
      <w:r>
        <w:t xml:space="preserve"> </w:t>
      </w:r>
      <w:r>
        <w:rPr>
          <w:i/>
          <w:iCs/>
        </w:rPr>
        <w:t xml:space="preserve">step-backwards</w:t>
      </w:r>
      <w:r>
        <w:t xml:space="preserve"> </w:t>
      </w:r>
      <w:r>
        <w:t xml:space="preserve">manual.</w:t>
      </w:r>
    </w:p>
    <w:p>
      <w:pPr>
        <w:numPr>
          <w:ilvl w:val="0"/>
          <w:numId w:val="1001"/>
        </w:numPr>
      </w:pPr>
      <w:r>
        <w:t xml:space="preserve">Chequear residuales, VIF, sobredispersión y exceso de ceros en los modelos.</w:t>
      </w:r>
    </w:p>
    <w:p>
      <w:pPr>
        <w:numPr>
          <w:ilvl w:val="0"/>
          <w:numId w:val="1001"/>
        </w:numPr>
      </w:pPr>
      <w:r>
        <w:t xml:space="preserve">En caso de sobredispersión y/o exceso de ceros, reajustar los modelos usando alguna de las alternativas propuestas en el material.</w:t>
      </w:r>
    </w:p>
    <w:bookmarkEnd w:id="24"/>
    <w:bookmarkStart w:id="25" w:name="paquetes-recomendados"/>
    <w:p>
      <w:pPr>
        <w:pStyle w:val="Heading3"/>
      </w:pPr>
      <w:r>
        <w:t xml:space="preserve">Paquetes recomendados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(janitor)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(dlookr)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(performance) 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(gtsummary)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(glmmTMB)</w:t>
      </w:r>
    </w:p>
    <w:p>
      <w:pPr>
        <w:pStyle w:val="FirstParagraph"/>
      </w:pPr>
      <w:r>
        <w:rPr>
          <w:b/>
          <w:bCs/>
        </w:rPr>
        <w:t xml:space="preserve">Nos vemos en el sincrónico del 18/09/2025!!!</w:t>
      </w:r>
    </w:p>
    <w:bookmarkEnd w:id="25"/>
    <w:bookmarkStart w:id="31" w:name="referencias"/>
    <w:p>
      <w:pPr>
        <w:pStyle w:val="Heading3"/>
      </w:pPr>
      <w:r>
        <w:t xml:space="preserve">Referencias</w:t>
      </w:r>
    </w:p>
    <w:bookmarkStart w:id="30" w:name="refs"/>
    <w:bookmarkStart w:id="27" w:name="ref-pujato2021"/>
    <w:p>
      <w:pPr>
        <w:pStyle w:val="Bibliography"/>
      </w:pPr>
      <w:r>
        <w:t xml:space="preserve">Pujato, Nazarena, Javier Lottersberger, Bibiana Vanasco, María Soledad López, Andrea A. Gómez, Gabriela V. Muller, Tamara Ricardo, Maximiliano Cristaldi, y M. Andrea Previtali. 2021.</w:t>
      </w:r>
      <w:r>
        <w:t xml:space="preserve"> </w:t>
      </w:r>
      <w:r>
        <w:t xml:space="preserve">«Leptospirosis: abordaje multidisciplinario de una enfermedad endémica»</w:t>
      </w:r>
      <w:r>
        <w:t xml:space="preserve">. En, 1:68-79. Universidad Nacional del Litoral.</w:t>
      </w:r>
      <w:r>
        <w:t xml:space="preserve"> </w:t>
      </w:r>
      <w:hyperlink r:id="rId26">
        <w:r>
          <w:rPr>
            <w:rStyle w:val="Hyperlink"/>
          </w:rPr>
          <w:t xml:space="preserve">https://hdl.handle.net/11185/5846</w:t>
        </w:r>
      </w:hyperlink>
      <w:r>
        <w:t xml:space="preserve">.</w:t>
      </w:r>
    </w:p>
    <w:bookmarkEnd w:id="27"/>
    <w:bookmarkStart w:id="29" w:name="ref-ricardo2019"/>
    <w:p>
      <w:pPr>
        <w:pStyle w:val="Bibliography"/>
      </w:pPr>
      <w:r>
        <w:t xml:space="preserve">Ricardo, Tamara. 2019.</w:t>
      </w:r>
      <w:r>
        <w:t xml:space="preserve"> </w:t>
      </w:r>
      <w:r>
        <w:t xml:space="preserve">«Evaluación del riesgo de leptospirosis en asentamientos marginales ribereños de Santa Fe, Argentina, mediante un enfoque</w:t>
      </w:r>
      <w:r>
        <w:t xml:space="preserve">"</w:t>
      </w:r>
      <w:r>
        <w:t xml:space="preserve"> </w:t>
      </w:r>
      <w:r>
        <w:t xml:space="preserve">Una Salud</w:t>
      </w:r>
      <w:r>
        <w:t xml:space="preserve">"</w:t>
      </w:r>
      <w:r>
        <w:t xml:space="preserve">»</w:t>
      </w:r>
      <w:r>
        <w:t xml:space="preserve">.</w:t>
      </w:r>
      <w:r>
        <w:t xml:space="preserve"> </w:t>
      </w:r>
      <w:hyperlink r:id="rId28">
        <w:r>
          <w:rPr>
            <w:rStyle w:val="Hyperlink"/>
          </w:rPr>
          <w:t xml:space="preserve">https://ri.conicet.gov.ar/handle/11336/81092</w:t>
        </w:r>
      </w:hyperlink>
      <w:r>
        <w:t xml:space="preserve">.</w:t>
      </w:r>
    </w:p>
    <w:bookmarkEnd w:id="29"/>
    <w:bookmarkEnd w:id="30"/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svg" /><Relationship Type="http://schemas.openxmlformats.org/officeDocument/2006/relationships/hyperlink" Id="rId26" Target="https://hdl.handle.net/11185/5846" TargetMode="External" /><Relationship Type="http://schemas.openxmlformats.org/officeDocument/2006/relationships/hyperlink" Id="rId28" Target="https://ri.conicet.gov.ar/handle/11336/8109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hdl.handle.net/11185/5846" TargetMode="External" /><Relationship Type="http://schemas.openxmlformats.org/officeDocument/2006/relationships/hyperlink" Id="rId28" Target="https://ri.conicet.gov.ar/handle/11336/8109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</dc:language>
  <cp:keywords/>
  <dcterms:created xsi:type="dcterms:W3CDTF">2025-09-17T14:14:05Z</dcterms:created>
  <dcterms:modified xsi:type="dcterms:W3CDTF">2025-09-17T14:14:05Z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>references.bib</vt:lpwstr>
  </property>
  <property fmtid="{D5CDD505-2E9C-101B-9397-08002B2CF9AE}" pid="4" name="editor">
    <vt:lpwstr>visual</vt:lpwstr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license">
    <vt:lpwstr/>
  </property>
  <property fmtid="{D5CDD505-2E9C-101B-9397-08002B2CF9AE}" pid="10" name="mainfont">
    <vt:lpwstr>Calibri</vt:lpwstr>
  </property>
  <property fmtid="{D5CDD505-2E9C-101B-9397-08002B2CF9AE}" pid="11" name="resources">
    <vt:lpwstr/>
  </property>
  <property fmtid="{D5CDD505-2E9C-101B-9397-08002B2CF9AE}" pid="12" name="toc-title">
    <vt:lpwstr>Tabla de contenidos</vt:lpwstr>
  </property>
</Properties>
</file>