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1. Coeficientes de la regresión joinpoint de las tasas estandarizadas de mortalidad por códigos garbage nivel 1 y 2 (GC1-GC2) por región y jurisdicción, Argentina (2010-2023).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21"/>
        <w:gridCol w:w="1675"/>
        <w:gridCol w:w="1575"/>
        <w:gridCol w:w="611"/>
        <w:gridCol w:w="1191"/>
        <w:gridCol w:w="876"/>
        <w:gridCol w:w="1535"/>
        <w:gridCol w:w="1011"/>
      </w:tblGrid>
      <w:tr>
        <w:trPr>
          <w:trHeight w:val="69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Jurisdicción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Período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95% 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AAPC</w:t>
            </w:r>
          </w:p>
        </w:tc>
      </w:tr>
      <w:tr>
        <w:trPr>
          <w:trHeight w:val="668" w:hRule="auto"/>
        </w:trPr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GC1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Argentina (Total)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-4.1--1.84 *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0.79-4.84 *</w:t>
            </w: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-3.84--1.67 *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-0.63 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2.35-11.51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-5.81--2.91 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-1.37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3.16-15.9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-1.21-3.72 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-0.21 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-4.8--1.95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0.95-8.05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Córdoba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-0.84-1.09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 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Entre Ríos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-0.67-1.8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 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Santa Fe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-6.74--0.72 *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 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1.04-3.63 *</w:t>
            </w: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-1.28-1.41 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1.07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7.56-16.04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-15.59--2.83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Mendoza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-0.42-2.07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Cuyo2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-1.4-1.58 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2.11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12.8-22.68 *</w:t>
            </w: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-10.50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-17.22--3.24 *</w:t>
            </w: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-3.40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-4.94--1.84 *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-1.61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-1.45-6.7 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-3.26--0.96 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 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1.73-7.84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Corrientes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-2.39-0.28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-1.07 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Formosa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-1.41-4.19 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-4.15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-41.37--15.14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Misiones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-27.67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-34.31--20.36 *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-11.75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-7.26-0.23 </w:t>
            </w: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-1.88-6.38 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2013-2016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-7.97--1.62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1.91-4.87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Tucumán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-12.01--2.23 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2012-2020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-1.5-0.71 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5.65-12.96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-0.28-26.6 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2013-2016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-20.86--3.6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3.19-12.33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-1.03-0.94 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 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-1.72-0.17 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-0.78 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-1.89--0.45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-1.17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Sur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-18.25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-27.83--7.41 *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-1.43 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0.1-3.9 *</w:t>
            </w: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 w:val="restart"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GC2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Argentina (Total)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-5.43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-6.47--4.37 *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-3.22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1.2-7.76 *</w:t>
            </w: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-5.32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-10.68-0.36 </w:t>
            </w: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-5.01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-6.34--3.66 *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-2.43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-0.56-4.3 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-7.36--4.64 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-2.75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0.22-5.26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-11.68--7.91 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-3.93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3.5-7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-19.36--9.11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Córdoba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-1.84-0.39 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-2.33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-17.11--3.7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Entre Ríos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-6.52--3.24 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-3.18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-3.24-2.58 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Santa Fe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-5.93--3.8 *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-4.1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0.43-6.98 *</w:t>
            </w: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-11.88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-16.91--6.56 *</w:t>
            </w: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-3.93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-5.56--2.28 *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-1.28-2.81 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Mendoza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-4.88--1.94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-3.42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Cuyo2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-9.87--3.35 *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-0.11 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1.51-4.41 *</w:t>
            </w: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-11.68--5.38 *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-4.63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-4.16--1.46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-0.29-4.77 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-1.37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-4.94--2.12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Corrientes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-3.32-0.32 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-3.29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-17.9--12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0.56-6.86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Formosa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-3.53-1.76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-0.92 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Misiones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-34.75--18.43 *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-7.8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6.72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-0.09-14 </w:t>
            </w: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-7.25--4.07 *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-4.53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0.09-6.33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-20.8--8.21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Tucumán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0.79-5.41 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 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-19.08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-30.34--6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-19.2--10.38 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-5.68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-1.37-7.61 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NOA2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-4.06-1.43 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-5.32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-13.41--7.67 *</w:t>
            </w: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-4.76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-8.17--1.22 *</w:t>
            </w: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-8.31--5.05 *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-3.56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-1.84-2.33 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-4.36--1.93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-3.15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Sur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-10.32--7.53 *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-3.89 *</w:t>
            </w:r>
          </w:p>
        </w:tc>
      </w:tr>
      <w:tr>
        <w:trPr>
          <w:trHeight w:val="683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2.11-7.54 *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</w:tbl>
    <w:sectPr>
      <w:pgMar w:header="708" w:bottom="1134" w:top="1134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2026-09-23T10:33:47Z</dcterms:modified>
  <cp:category/>
</cp:coreProperties>
</file>