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00" w:before="1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1ox59i8u2y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Algoritmo secuencial de redistribución de códigos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garbage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(GC), adaptado de las metodologías propuestas por Teixeira et al. (2021) y Soares Filho et al. (2024). El proceso comprende la recategorización y redistribución de los GC hacia causas definidas de enfermedades no transmisibles (ENT) y causas externas (CE).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00" w:before="1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r11gx44nms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Frecuencias de muertes por grupos de causas definidas y códigos garbage (GC) según sexo y grupo etario, Argentina, 2010-2023.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00" w:before="1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tmnnwh3pj4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Cambios en la distribución de las defunciones por grupos de causas a lo largo del proceso de redistribución de códigos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garbage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(GC). Argentina, 2010–2023. Los colores de las barras indican el cambio de frecuencia según la etapa de redistribución de GC.</w:t>
      </w:r>
    </w:p>
    <w:p w:rsidR="00000000" w:rsidDel="00000000" w:rsidP="00000000" w:rsidRDefault="00000000" w:rsidRPr="00000000" w14:paraId="00000004">
      <w:pPr>
        <w:pStyle w:val="Heading2"/>
        <w:spacing w:after="100" w:before="1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kova39qxhb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Evolución temporal de las tasas de mortalidad por códigos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garbage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(GC) estandarizadas por edad, según región. Argentina, 2010–2023. Los puntos representan los valores observados en escala logarítmica (log-tasa) y las líneas corresponden a los valores ajustados mediante modelos de regresión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joinpoint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Las líneas grises discontinuas señalan los puntos de cambio en la tendencia (joinpoints). Al pie de cada panel se reporta el cambio porcentual anual promedio (AAPC); el asterisco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significancia estadística (p &lt; 0,05).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1133.8582677165355" w:header="720" w:footer="720"/>
      <w:lnNumType w:countBy="1" w:start="0" w:restart="continuous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