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Variables incluidas en el estudio y categorías de análisis.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1"/>
        <w:gridCol w:w="3969"/>
        <w:gridCol w:w="3969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 de ocurrencia de la defunción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Regionalización sanitaria utilizada por la DEIS para agrupar las provincias argentinas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Centro; Cuyo; NEA; NOA; Patagonia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de agregación jurisdiccional definido por la DEIS para resguardar la confidencialidad de los datos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Aires; CABA; Córdoba; Entre Ríos; Santa Fe; Mendoza; Cuyo2; Chaco; Corrientes; Formosa; Misiones; Tucumán; NOA1; NOA2; Patagonia Norte; Patagonia Sur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 consignado en el acta de defunción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Masculino; Femenino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etario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 edad agrupadas según criterios de la DEIS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&lt;20 años; 20-39; 40-49; 50-59; 60-69; 70-79; ≥80 años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 codificada a cuatro dígitos según la CIE-10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A00.0-Z99.9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de causas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grandes grupos del GBD-2019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ENT; CE; GC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Subgrupo de causas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grupos nivel 2 del GBD-2019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DM; ECV; CRD; NPL; OENT; AT; SH; VI; OCE; GC1; GC2; GC3; GC4; NNE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muertes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Cantidad anual de defunciones según región, jurisdicción, sexo, grupo etario y causa básica de muerte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Conteo de defunciones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Centro: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CABA, Buenos Aires, Córdoba, Entre Ríos, Santa Fe;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Cuyo2: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Rioja, San Juan, San Luis;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NEA: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Chaco, Corrientes, Formosa, Misiones;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NOA1: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Jujuy, Salta;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Catamarca, Santiago del Estero;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Norte: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Pampa, Neuquén, Río Negro;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Sur: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Chubut, Santa Cruz, Tierra del Fuego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2026-08-13T10:08:27Z</dcterms:modified>
  <cp:category/>
</cp:coreProperties>
</file>