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2. Coeficientes de la regresión joinpoint de las tasas estandarizadas de mortalidad por códigos garbage nivel 1 y 2 (GC1-GC2)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936"/>
        <w:gridCol w:w="1555"/>
        <w:gridCol w:w="107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6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-4,6%; -1,4%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-0,7%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0,2%; 5,4%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-5,4%; -1,4%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-0,2%; 6,5%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-8,2%; -3,0%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-0,9%; 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-2,2%; 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-9,1%; 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-0,4%; 9,6%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-4,3%; 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0,1%; 5,9%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-6,3%; 1,0%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4,6%; 7,4%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-25,0%; -4,9%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-3,9%; 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3,2%; 12,2%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-23,4%; 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4,6%; 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-8,0%; 0,0%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-5,4%; -1,3%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-3,3%; -0,7%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0,0%; 11,3%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-24,8%;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-6,1%; 35,1%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-19,4%; -2,1%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-26,7%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-35,8%; -16,4%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-12,3%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-7,8%; 2,7%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-4,1%; 0,7%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0,6%; 5,7%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-4,4%;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8,7%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-1,2%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-7,0%; -3,8%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-2,3%; 3,1%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-7,1%; -3,6%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-2,0%; 3,9%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-7,7%; -4,5%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-1,5%; 7,0%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-11,7%; -7,1%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-30,2%; 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-2,6%; 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-18,5%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-33,5%; -0,1%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-6,3%; -1,2%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-2,0%; 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-10,2%; -1,8%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4,8%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-8,8%; -3,3%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-4,7%; 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-5,2%; 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-7,3%; 10,5%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-13,5%; -4,9%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-6,2%; 11,9%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-28,8%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-41,1%; -14,0%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-2,1%; 14,3%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-7,2%; -3,5%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-5,8%; 12,8%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-21,3%; 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-19,7%; -8,7%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-3,3%; 9,9%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-6,2%; 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-9,3%; -6,0%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0,3%; 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-32,0%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-52,8%; -2,1%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-7,9%; -4,1%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-2,8%; 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-10,9%; -6,9%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 *</w:t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0,2%; 7,3%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992" w:hRule="auto"/>
        </w:trPr>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p &lt; 0,05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JP: cantidad de joinpoints; APC: cambio porcentual anual; IC: intervalo de confianza al 95%; AAPC: cambio porcentual anual promedio (IC 95%).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2026-08-13T10:08:30Z</dcterms:modified>
  <cp:category/>
</cp:coreProperties>
</file>