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3. Coeficientes de la regresión joinpoint de las tasas estandarizadas de mortalidad por códigos garbage nivel 3 y 4 (GC3-GC4)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936"/>
        <w:gridCol w:w="1465"/>
        <w:gridCol w:w="98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GC3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-5,6%; -3,8%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-1,7%;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-7,4%; 20,9%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-16,6%; -8,7%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-11,2%; 0,1%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3,5%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-5,5%; -1,8%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-1,1%; 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-5,3%; -1,3%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2,3%; 13,3%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-11,4%; -5,4%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-8,5%; -3,8%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-2,7%; 40,2%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-6,0%; 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-3,8%; 2,9%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-7,5%; -3,4%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-3,8%; 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-3,6%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-9,5%; -2,8%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0,3%; 7,5%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0,5%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-4,4%; 0,0%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7,4%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-4,5%; 1,4%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2,1%; 9,1%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-4,3%; 2,3%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4,7%; 11,5%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-6,7%;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5,6%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-6,9%; -2,7%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-2,6%; 4,1%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-8,6%; -4,6%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10,4%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-5,7%; -0,9%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0,9%; 8,6%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-4,8%; -0,2%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8,0%; 19,4%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-8,1%; -2,0%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-1,4%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-0,6%;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-0,7%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-7,2%; -1,7%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-0,8%; 2,3%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-22,7%; 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-2,9%;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14,3%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-12,3%; -4,5%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-8,1%; 18,1%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992" w:hRule="auto"/>
        </w:trPr>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p &lt; 0,05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JP: cantidad de joinpoints; APC: cambio porcentual anual; IC: intervalo de confianza al 95%; AAPC: cambio porcentual anual promedio (IC 95%).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2026-08-13T10:08:32Z</dcterms:modified>
  <cp:category/>
</cp:coreProperties>
</file>