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6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Tabla 1. Variables incluidas en el estudio y categorías de análisis.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01"/>
        <w:gridCol w:w="3969"/>
        <w:gridCol w:w="3969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Descripción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Valores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Año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Año de ocurrencia de la defunción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2010-2023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Región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Agrupación territorial definida por la DEIS para resguardar la confidencialidad de los datos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Centro; Cuyo; NEA; NOA; Patagonia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Jurisdicción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Nivel de agregación jurisdiccional definido por la DEIS para resguardar la confidencialidad de los datos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Buenos Aires; CABA; Córdoba; Entre Ríos; Santa Fe; Mendoza; Cuyo2 (La Rioja, San Juan, San Luis); Chaco; Corrientes; Formosa; Misiones; Tucumán; NOA1 (Jujuy, Salta); NOA2 (Catamarca, Santiago del Estero); Pat. Norte (La Pampa, Neuquén, Río Negro); Pat. Sur (Chubut, Santa Cruz, Tierra del Fuego)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Sexo consignado en el acta de defunción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Masculino; Femenino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Grupo etario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Categorías de edad agrupadas según criterios de la DEIS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&lt;20 años; 20-39; 40-49; 50-59; 60-69; 70-79; ≥80 años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Causa básica de muerte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Causa básica de muerte codificada según la CIE-10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A00.0-Z99.9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Grupo de causas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Clasificación de causas según grandes grupos del GBD-2019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CMNN; ENT; CE; GC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Subgrupo de causas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Clasificación de causas según grupos nivel 2 del GBD-2019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CMNN; DM; ECV; ERC; NPL; OENT; TRA; SU; HO; OCE; GC1; GC2; GC3; GC4; NNE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Número de muertes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Cantidad anual de defunciones según región, jurisdicción, sexo, grupo etario y causa básica de muerte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Conteo de defunciones</w:t>
            </w:r>
          </w:p>
        </w:tc>
      </w:tr>
    </w:tbl>
    <w:sectPr>
      <w:pgMar w:header="708" w:bottom="1134" w:top="1134" w:right="1134" w:left="1134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2026-07-20T13:48:16Z</dcterms:modified>
  <cp:category/>
</cp:coreProperties>
</file>