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6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2. Principales códigos garbage de nivel 1 y 2 (GC1-GC2) registrados como causa básica de defunción en Argentina (2010-2023).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6433"/>
        <w:gridCol w:w="1260"/>
        <w:gridCol w:w="876"/>
      </w:tblGrid>
      <w:tr>
        <w:trPr>
          <w:trHeight w:val="69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Código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Causa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Frecuencia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Insuficiencia cardíaca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378,844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25,4%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Otras causas mal definidas y las no especificadas de mortalidad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Insuficiencia respiratoria no clasificada en otra parte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10,8%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A41.9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Septicemia no especificada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10,2%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Neumonitis debida a sólidos y líquidos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Insuficiencia renal no especificada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43,563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Otras enfermedades del sistema digestivo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40,321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Hipertensión esencial (primaria)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37,497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Exposición a factores no especificados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37,315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Choque no clasificado en otra parte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Edema pulmonar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Insuficiencia renal aguda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Otras muertes súbitas de causa desconocida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Embolia pulmonar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Peritonitis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Depleción del volumen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Insuficiencia hepática no clasificada en otra parte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Otros síntomas y signos generales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Evento no especificado de intención no determinada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Hipotensión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0,9%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Otros síntomas y signos que involucran los sistemas circulatorio y respiratorio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0,9%</w:t>
            </w:r>
          </w:p>
        </w:tc>
      </w:tr>
      <w:tr>
        <w:trPr>
          <w:trHeight w:val="6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Ahorcamiento estrangulamiento y sofocación de intención no determinada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0,8%</w:t>
            </w:r>
          </w:p>
        </w:tc>
      </w:tr>
      <w:tr>
        <w:trPr>
          <w:trHeight w:val="68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Disparo de otras armas de fuego y las no especificadas de intención no determinada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6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0,7%</w:t>
            </w:r>
          </w:p>
        </w:tc>
      </w:tr>
    </w:tbl>
    <w:sectPr>
      <w:pgMar w:header="708" w:bottom="1134" w:top="1134" w:right="1134" w:left="1134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2026-07-20T13:48:24Z</dcterms:modified>
  <cp:category/>
</cp:coreProperties>
</file>