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Principales códigos garbage de nivel 1 y 2 (GC1-GC2) registrados como causa básica de defunción en Argentina (2010-2023).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134"/>
        <w:gridCol w:w="5669"/>
        <w:gridCol w:w="1134"/>
        <w:gridCol w:w="1134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Frecuencia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cardíaca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378,844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causas mal definidas y las no especificadas de mortalidad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respiratoria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Neumonitis debida a sólidos y líquidos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no especificada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enfermedades del sistema digestivo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Hipertensión esencial (primaria)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Exposición a factores no especificados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Choque no clasificado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Edema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aguda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muertes súbitas de causa desconocida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Embolia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Peritonitis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Depleción del volumen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hepática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Otros síntomas y signos generales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Evento no especificado de intención no 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Hipotensión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2026-09-29T09:38:32Z</dcterms:modified>
  <cp:category/>
</cp:coreProperties>
</file>