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36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true"/>
          <w:u w:val="none"/>
          <w:strike w:val="false"/>
          <w:sz w:val="24"/>
          <w:szCs w:val="24"/>
          <w:color w:val="000000"/>
        </w:rPr>
        <w:t xml:space="preserve">Tabla 1. Variables incluidas en el estudio y categorías de análisis.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701"/>
        <w:gridCol w:w="3969"/>
        <w:gridCol w:w="3969"/>
      </w:tblGrid>
      <w:tr>
        <w:trPr>
          <w:trHeight w:val="36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Descripción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Valores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Año</w:t>
            </w:r>
          </w:p>
        </w:tc>
        <w:tc>
          <w:tcPr>
            <w:tcBorders>
              <w:bottom w:val="single" w:sz="8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Año de ocurrencia de la defunción</w:t>
            </w:r>
          </w:p>
        </w:tc>
        <w:tc>
          <w:tcPr>
            <w:tcBorders>
              <w:bottom w:val="single" w:sz="8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2010-2023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Región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Regionalización sanitaria utilizada por la DEIS para agrupar las provincias argentinas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Centro; Cuyo; NEA; NOA; Patagonia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Jurisdicción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Nivel de agregación jurisdiccional definido por la DEIS para resguardar la confidencialidad de los datos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Buenos Aires; CABA; Córdoba; Entre Ríos; Santa Fe; Mendoza; Cuyo2; Chaco; Corrientes; Formosa; Misiones; Tucumán; NOA1; NOA2; Patagonia Norte; Patagonia Sur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Sexo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Sexo consignado en el acta de defunción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Masculino; Femenino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Grupo etario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Categorías de edad agrupadas según criterios de la DEIS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&lt;20 años; 20-39; 40-49; 50-59; 60-69; 70-79; ≥80 años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Grupo nivel 1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Clasificación de causas según grandes grupos del GBD-2023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CMNN; ENT; CE; GC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Grupo nivel 2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Clasificación de causas según grupos nivel 2 del GBD-2023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INF; MAT-NEO; NUT; NPL; ECV; CRD; DM-CKD; OTR-ENT; TRA; SH-VI; LES-NOINT; GC1; GC2; GC3; GC4; NNE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Causa básica de muerte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Causa básica de muerte codificada a cuatro dígitos según la CIE-10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A00.0-Z99.9</w:t>
            </w:r>
          </w:p>
        </w:tc>
      </w:tr>
      <w:tr>
        <w:trPr>
          <w:trHeight w:val="360" w:hRule="auto"/>
        </w:trPr>
        <w:tc>
          <w:tcPr>
            <w:tcBorders>
              <w:bottom w:val="single" w:sz="12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Número de muertes</w:t>
            </w:r>
          </w:p>
        </w:tc>
        <w:tc>
          <w:tcPr>
            <w:tcBorders>
              <w:bottom w:val="single" w:sz="12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Cantidad anual de defunciones según región, jurisdicción, sexo, grupo etario y causa básica de muerte</w:t>
            </w:r>
          </w:p>
        </w:tc>
        <w:tc>
          <w:tcPr>
            <w:tcBorders>
              <w:bottom w:val="single" w:sz="12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Conteo de defunciones</w:t>
            </w:r>
          </w:p>
        </w:tc>
      </w:tr>
      <w:tr>
        <w:trPr>
          <w:trHeight w:val="360" w:hRule="auto"/>
        </w:trPr>
        <w:tc>
          <w:tcPr>
            <w:gridSpan w:val="3"/>
            <w:tcBorders>
              <w:bottom w:val="none" w:sz="0" w:space="0" w:color="FFFFFF"/>
              <w:top w:val="single" w:sz="12" w:space="0" w:color="666666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Centro: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CABA, Buenos Aires, Córdoba, Entre Ríos, Santa Fe; 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Cuyo2: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La Rioja, San Juan, San Luis; 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NEA: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Chaco, Corrientes, Formosa, Misiones; 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NOA1: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Jujuy, Salta; 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NOA2: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Catamarca, Santiago del Estero; 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Patagonia Norte: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La Pampa, Neuquén, Río Negro; 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Patagonia Sur: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Chubut, Santa Cruz, Tierra del Fuego</w:t>
            </w:r>
          </w:p>
        </w:tc>
      </w:tr>
    </w:tbl>
    <w:sectPr>
      <w:pgMar w:header="708" w:bottom="1134" w:top="1134" w:right="1134" w:left="1134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2026-08-20T12:03:05Z</dcterms:modified>
  <cp:category/>
</cp:coreProperties>
</file>