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36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1. Variables incluidas en el estudio y categorías de análisis.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01"/>
        <w:gridCol w:w="3969"/>
        <w:gridCol w:w="3969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Descripción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Valores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Año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Año de ocurrencia de la defunción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Región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Regionalización sanitaria utilizada por la DEIS para agrupar las provincias argentinas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Centro; Cuyo; NEA; NOA; Patagonia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Jurisdicción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Nivel de agregación jurisdiccional definido por la DEIS para resguardar la confidencialidad de los datos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Buenos Aires; CABA; Córdoba; Entre Ríos; Santa Fe; Mendoza; Cuyo2; Chaco; Corrientes; Formosa; Misiones; Tucumán; NOA1; NOA2; Patagonia Norte; Patagonia Sur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Sexo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Sexo consignado en el acta de defunción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Masculino; Femenino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Grupo etario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Categorías de edad agrupadas según criterios de la DEIS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&lt;20 años; 20-39; 40-49; 50-59; 60-69; 70-79; ≥80 años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Causa básica de muerte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Causa básica de muerte codificada a cuatro dígitos según la CIE-10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A00.0-Z99.9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Grupo de causas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Clasificación de causas según grandes grupos del GBD-2019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CMNN; ENT; CE; GC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Subgrupo de causas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Clasificación de causas según grupos nivel 2 del GBD-2019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CMNN; DM; ECV; ERC; NPL; OENT; TRA; SU; HO; OCE; GC1; GC2; GC3; GC4; NNE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Número de muertes</w:t>
            </w:r>
          </w:p>
        </w:tc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Cantidad anual de defunciones según región, jurisdicción, sexo, grupo etario y causa básica de muerte</w:t>
            </w:r>
          </w:p>
        </w:tc>
        <w:tc>
          <w:tcPr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Conteo de defunciones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Centro: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CABA, Buenos Aires, Córdoba, Entre Ríos, Santa Fe;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Cuyo2: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 Rioja, San Juan, San Luis;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NEA: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Chaco, Corrientes, Formosa, Misiones;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NOA1: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Jujuy, Salta;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NOA2: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Catamarca, Santiago del Estero;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Patagonia Norte: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 Pampa, Neuquén, Río Negro;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Patagonia Sur: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Chubut, Santa Cruz, Tierra del Fuego</w:t>
            </w:r>
          </w:p>
        </w:tc>
      </w:tr>
    </w:tbl>
    <w:sectPr>
      <w:pgMar w:header="708" w:bottom="1134" w:top="1134" w:right="1134" w:left="1134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2026-07-27T11:25:39Z</dcterms:modified>
  <cp:category/>
</cp:coreProperties>
</file>