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36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2. Coeficientes de la regresión joinpoint de las tasas estandarizadas de mortalidad por códigos garbage nivel 1 y 2 (GC1-GC2) por región y jurisdicción, Argentina (2010-2023).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21"/>
        <w:gridCol w:w="1130"/>
        <w:gridCol w:w="1575"/>
        <w:gridCol w:w="611"/>
        <w:gridCol w:w="1191"/>
        <w:gridCol w:w="936"/>
        <w:gridCol w:w="1555"/>
        <w:gridCol w:w="1071"/>
      </w:tblGrid>
      <w:tr>
        <w:trPr>
          <w:trHeight w:val="69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Región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Jurisdicción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JP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Periodo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AAPC</w:t>
            </w:r>
          </w:p>
        </w:tc>
      </w:tr>
      <w:tr>
        <w:trPr>
          <w:trHeight w:val="668" w:hRule="auto"/>
        </w:trPr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GC1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Argentina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-3,0%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-4,6%; -1,4%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-0,7%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2,8%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0,2%; 5,4%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Centro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-3,4%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-5,4%; -1,4%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-0,9%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-0,2%; 6,5%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Buenos Aires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-8,2%; -3,0%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-1,9%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-0,9%; 8,0%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CABA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-2,2%; 3,0%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-0,3%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-9,1%; 0,1%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2020-2023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-0,4%; 9,6%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Córdoba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Entre Ríos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Santa Fe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-4,3%; 1,2%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0,8%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2,9%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0,1%; 5,9%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Cuyo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2010-2014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-2,7%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-6,3%; 1,0%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2014-2022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4,6%; 7,4%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2022-2023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-15,5%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-25,0%; -4,9%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Cuyo2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-3,9%; 4,5%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3,5%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3,2%; 12,2%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Mendoza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-12,6%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-23,4%; -0,3%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0,9%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2012-2020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4,6%; 7,6%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2020-2023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-4,0%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-8,0%; 0,0%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2010-2019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-3,4%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-5,4%; -1,3%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-1,6%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2019-2023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-2,4%; 8,3%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Chaco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-3,3%; -0,7%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2019-2023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0,0%; 11,3%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Corrientes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-1,0%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Formosa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-9,8%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-24,8%; 8,3%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-3,9%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2013-2017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-6,1%; 35,1%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-11,2%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-19,4%; -2,1%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Misiones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-26,7%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-35,8%; -16,4%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-12,3%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2014-2023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-2,7%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-7,8%; 2,7%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-1,8%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-4,1%; 0,7%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0,7%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0,6%; 5,7%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0,0%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Tucumán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-4,4%; -0,6%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0,8%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5,4%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2,2%; 8,7%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-0,8%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 Norte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-1,2%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 Sur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0,1%</w:t>
            </w:r>
          </w:p>
        </w:tc>
      </w:tr>
      <w:tr>
        <w:trPr>
          <w:trHeight w:val="678" w:hRule="auto"/>
        </w:trPr>
        <w:tc>
          <w:tcPr>
            <w:vMerge w:val="restart"/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GC2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Argentina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-5,4%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-7,0%; -3,8%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-3,0%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0,3%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-2,3%; 3,1%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Centro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-5,4%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-7,1%; -3,6%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-2,8%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-2,0%; 3,9%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Buenos Aires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-7,7%; -4,5%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-3,1%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-1,5%; 7,0%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CABA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-9,4%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-11,7%; -7,1%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-4,0%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3,0%; 8,3%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-19,0%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-30,2%; -5,9%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Córdoba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-2,6%; -0,3%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-3,2%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2022-2023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-18,5%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-33,5%; -0,1%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Entre Ríos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-3,3%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Santa Fe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-3,2%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Cuyo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-3,8%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-6,3%; -1,2%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-1,8%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-2,0%; 3,3%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Cuyo2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-10,2%; -1,8%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2014-2023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1,1%; 4,8%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Mendoza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-3,4%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-6,1%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-8,8%; -3,3%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-4,3%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-4,7%; 1,0%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Chaco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-2,4%; 6,1%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-1,5%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-5,2%; -1,9%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Corrientes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-7,3%; 10,5%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-3,2%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2014-2019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-9,3%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-13,5%; -4,9%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2019-2023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-6,2%; 11,9%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Formosa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-0,8%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Misiones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-28,8%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-41,1%; -14,0%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-8,5%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5,8%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-2,1%; 14,3%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-5,4%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-7,2%; -3,5%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-4,5%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-5,8%; 12,8%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-14,0%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-21,3%; -5,9%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-14,4%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-19,7%; -8,7%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-5,6%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-3,3%; 9,9%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-6,2%; 2,5%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-5,7%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-9,3%; -6,0%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Tucumán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0,3%; 4,7%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-1,5%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2022-2023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-32,0%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-52,8%; -2,1%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-6,0%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-7,9%; -4,1%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-3,4%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-2,8%; 3,4%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 Norte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-3,0%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 Sur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-10,9%; -6,9%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-3,9% *</w:t>
            </w:r>
          </w:p>
        </w:tc>
      </w:tr>
      <w:tr>
        <w:trPr>
          <w:trHeight w:val="683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3,7%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0,2%; 7,3%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992" w:hRule="auto"/>
        </w:trPr>
        <w:tc>
          <w:tcPr>
            <w:gridSpan w:val="8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* p &lt; 0,05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JP: cantidad de joinpoints; APC: cambio porcentual anual; IC: intervalo de confianza al 95%; AAPC: cambio porcentual anual promedio (IC 95%).</w:t>
            </w:r>
          </w:p>
        </w:tc>
      </w:tr>
    </w:tbl>
    <w:sectPr>
      <w:pgMar w:header="708" w:bottom="1134" w:top="1134" w:right="1134" w:left="1134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2026-07-27T11:26:39Z</dcterms:modified>
  <cp:category/>
</cp:coreProperties>
</file>