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36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Tabla 3. Coeficientes de la regresión joinpoint de las tasas estandarizadas de mortalidad por códigos garbage nivel 3 y 4 (GC3-GC4) por región y jurisdicción, Argentina (2010-2023).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21"/>
        <w:gridCol w:w="1130"/>
        <w:gridCol w:w="1575"/>
        <w:gridCol w:w="611"/>
        <w:gridCol w:w="1191"/>
        <w:gridCol w:w="936"/>
        <w:gridCol w:w="1465"/>
        <w:gridCol w:w="981"/>
      </w:tblGrid>
      <w:tr>
        <w:trPr>
          <w:trHeight w:val="69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Grupo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Región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Jurisdicción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JP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Periodo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AAPC</w:t>
            </w:r>
          </w:p>
        </w:tc>
      </w:tr>
      <w:tr>
        <w:trPr>
          <w:trHeight w:val="678" w:hRule="auto"/>
        </w:trPr>
        <w:tc>
          <w:tcPr>
            <w:vMerge w:val="restart"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GC3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Argentina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-2,8%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Centro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-2,7%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Buenos Aires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-1,3%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-7,1%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Córdoba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-5,6%; -3,8%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-2,9%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2019-2023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-1,7%; 6,1%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Entre Ríos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-2,4%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Santa Fe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-2,1%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Cuyo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-7,2%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Cuyo2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-5,3%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Mendoza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-7,4%; 20,9%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-7,5%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2012-2018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-12,7%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-16,6%; -8,7%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2018-2023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-5,7%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-11,2%; 0,1%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NEA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0,5%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-2,4%; 3,5%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-1,8%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-5,5%; -1,8%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Chaco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-1,1%; 5,5%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-0,9%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-5,3%; -1,3%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Corrientes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-1,0%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Formosa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2,3%; 13,3%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-1,9%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-8,4%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-11,4%; -5,4%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Misiones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-8,5%; -3,8%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-2,7%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2021-2023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16,8%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-2,7%; 40,2%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NOA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-0,6%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-3,2%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NOA2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1,4%; 8,6%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0,8%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-6,0%; 0,7%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Tucumán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1,3%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Patagonia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-0,5%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-3,8%; 2,9%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-3,3%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-7,5%; -3,4%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Patagonia Norte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-3,2%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Patagonia Sur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-3,8%; 3,4%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-3,6%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-6,2%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-9,5%; -2,8%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 w:val="restart"/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GC4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Argentina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3,8%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0,3%; 7,5%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0,5%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-2,2%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-4,4%; 0,0%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Centro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4,2%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1,1%; 7,4%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-4,5%; 1,4%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Buenos Aires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2,1%; 9,1%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1,9%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-4,3%; 2,3%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CABA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4,7%; 11,5%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1,6%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-6,7%; -0,6%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Córdoba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-2,1%; 6,1%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-0,9%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-5,6%; -0,6%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Entre Ríos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-1,5%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Santa Fe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-0,8%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Cuyo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3,4%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1,1%; 5,6%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-1,1%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-6,9%; -2,7%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Cuyo2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-2,6%; 4,1%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-3,3%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-6,6%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-8,6%; -4,6%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Mendoza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2,2%; 10,4%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1,0%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-3,3%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-5,7%; -0,9%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NEA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4,7%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0,9%; 8,6%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0,7%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-4,8%; -0,2%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Chaco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0,7%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Corrientes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-0,1%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Formosa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-0,3%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Misiones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8,0%; 19,4%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2,1% *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2015-2023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-5,1%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-8,1%; -2,0%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NOA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-0,9%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-1,4%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-0,1%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Tucumán</w:t>
            </w:r>
          </w:p>
        </w:tc>
        <w:tc>
          <w:tcPr>
            <w:vMerge w:val="restart"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3,9%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-0,6%; 8,6%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-0,7%</w:t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2016-2023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-4,5%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-7,2%; -1,7%</w:t>
            </w:r>
          </w:p>
        </w:tc>
        <w:tc>
          <w:tcPr>
            <w:tcBorders>
              <w:bottom w:val="single" w:sz="8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78" w:hRule="auto"/>
        </w:trPr>
        <w:tc>
          <w:tcPr>
            <w:vMerge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12" w:space="0" w:color="666666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Patagonia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2010-2017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0,7%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-0,8%; 2,3%</w:t>
            </w:r>
          </w:p>
        </w:tc>
        <w:tc>
          <w:tcPr>
            <w:tcBorders>
              <w:bottom w:val="none" w:sz="0" w:space="0" w:color="000000"/>
              <w:top w:val="single" w:sz="8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-1,8%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2017-2020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-11,1%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-22,7%; 2,2%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2020-2023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-2,9%; 6,1%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Patagonia Norte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-2,4% *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Patagonia Sur</w:t>
            </w:r>
          </w:p>
        </w:tc>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2010-2014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2,2%; 14,3%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-0,9%</w:t>
            </w:r>
          </w:p>
        </w:tc>
      </w:tr>
      <w:tr>
        <w:trPr>
          <w:trHeight w:val="668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2014-2020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-8,5%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-12,3%; -4,5%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83" w:hRule="auto"/>
        </w:trPr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2020-2023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4,2%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-8,1%; 18,1%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992" w:hRule="auto"/>
        </w:trPr>
        <w:tc>
          <w:tcPr>
            <w:gridSpan w:val="8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36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* p &lt; 0,05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JP: cantidad de joinpoints; APC: cambio porcentual anual; IC: intervalo de confianza al 95%; AAPC: cambio porcentual anual promedio (IC 95%).</w:t>
            </w:r>
          </w:p>
        </w:tc>
      </w:tr>
    </w:tbl>
    <w:sectPr>
      <w:pgMar w:header="708" w:bottom="1134" w:top="1134" w:right="1134" w:left="1134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2026-07-27T11:26:35Z</dcterms:modified>
  <cp:category/>
</cp:coreProperties>
</file>