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34"/>
        <w:gridCol w:w="5669"/>
        <w:gridCol w:w="1134"/>
        <w:gridCol w:w="1134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Frecuencia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cardíaca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378,844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causas mal definidas y las no especificadas de mortalidad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respiratoria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Sepsis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Neumonitis debida a sólidos y líquidos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no especificada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enfermedades del sistema digestivo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Hipertensión esencial (primaria)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Exposición a factores no especificados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Choque no clasificado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Edema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aguda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muertes súbitas de causa desconocida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Embolia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Peritonitis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Depleción del volumen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hepática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Otros síntomas y signos generales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Evento no especificado de intención no 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Hipotensión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2026-09-28T15:11:12Z</dcterms:modified>
  <cp:category/>
</cp:coreProperties>
</file>