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Regionalización sanitaria utilizada por la DEIS para agrupar las provincias argentinas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Cuyo2; Chaco; Corrientes; Formosa; Misiones; Tucumán; NOA1; NOA2; Patagonia Norte; Patagonia Sur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Femenino; Masculino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nivel 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causa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niveles 2-3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CE:CA; CE:OTR-CE; CE:OTR-TRA; CE:SH; CE:TRA; CE:VI; CMNN:INF; CMNN:MAT-NEO; CMNN:NUTR; ENT:CRD; ENT:DIG; ENT:DM-CKD; ENT:ECV; ENT:MUSC; ENT:NEU-MENT; ENT:NPL; ENT:OTR-ENT; ENT:PIEL; ENT:SUST; GC:GC1; GC:GC2; GC:GC3; GC:GC4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Centro: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CABA, Buenos Aires, Córdoba, Entre Ríos, Santa Fe;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Cuyo2: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Rioja, San Juan, San Luis;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NEA: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Chaco, Corrientes, Formosa, Misiones;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NOA1: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Jujuy, Salta;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Catamarca, Santiago del Estero;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Norte: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Pampa, Neuquén, Río Negro;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Sur: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Chubut, Santa Cruz, Tierra del Fuego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2026-09-10T09:24:21Z</dcterms:modified>
  <cp:category/>
</cp:coreProperties>
</file>