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2. Coeficientes de la regresión joinpoint de las tasas estandarizadas de mortalidad por códigos garbage nivel 1 y 2 (GC1-GC2)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675"/>
        <w:gridCol w:w="1575"/>
        <w:gridCol w:w="611"/>
        <w:gridCol w:w="1191"/>
        <w:gridCol w:w="936"/>
        <w:gridCol w:w="1555"/>
        <w:gridCol w:w="107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6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 (Total)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-3,1%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-4,7%; -1,6%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0,0%; 5,2%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-5,5%; -1,5%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-0,5%;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-8,3%; -3,1%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-1,2%; 7,7%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-2,2%; 2,9%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-9,0%; 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-0,4%; 9,5%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-7,6%; 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0,7%; 4,1%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-1,2%; 1,6%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3,4%; 20,3%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-18,4%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-29,9%; -5,1%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-4,0%; 5,1%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2,4%; 12,1%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-5,5%; -1,3%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-2,7%; 8,1%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-3,3%; -0,7%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0,0%; 11,5%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-2,9%;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-2,5%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-23,6%; 0,5%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-26,5%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-35,2%; -16,7%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-12,2%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-7,8%; 2,2%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-3,9%; 0,6%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0,6%; 5,4%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-4,3%; -0,5%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-27,8%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-48,0%; 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-0,1%; 3,8%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 (Total)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-6,2%; -4,3%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-0,7%; 11,0%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-14,6%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-23,6%; -4,5%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-6,4%; -4,0%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-1,5%; 13,4%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-13,9%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-25,2%; -0,9%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-7,5%; -4,3%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-1,1%; 7,4%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-11,8%; -7,0%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2,9%; 8,4%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-30,8%; -5,7%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-2,0%; 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-20,0%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-33,7%; -3,5%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-6,7%; -2,9%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-5,0%; 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-5,3%; 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-0,3%; 23,3%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-16,2%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-24,6%; -6,8%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-6,4%; -1,6%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-1,8%; 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-12,6%; -0,4%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1,3%; 4,6%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-8,9%; 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-4,8%; 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-1,0%; 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-5,5%; -1,5%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-7,3%; 9,9%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-13,6%; -5,4%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-5,6%; 12,0%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-29,2%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-41,3%; -14,6%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-1,8%; 14,5%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-7,7%; -3,7%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-6,4%; 13,8%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-22,6%; 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12,0%; 96,1%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-12,4%; 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-0,1%; 9,8%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-32,1%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-48,7%; -10,2%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-21,6%; -7,7%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-2,3%;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-6,8%; 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-6,0%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-9,7%; -5,9%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-8,5%; -4,5%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-2,6%; 4,0%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-11,3%; -7,5%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-4,1% *</w:t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0,8%; 7,5%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992" w:hRule="auto"/>
        </w:trPr>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p &lt; 0,05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JP: cantidad de joinpoints; APC: cambio porcentual anual; IC: intervalo de confianza al 95%; AAPC: cambio porcentual anual promedio (IC 95%).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2026-09-10T11:06:01Z</dcterms:modified>
  <cp:category/>
</cp:coreProperties>
</file>