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3. Coeficientes de la regresión joinpoint de las tasas estandarizadas de mortalidad por códigos garbage nivel 3 y 4 (GC3-GC4) por región y jurisdicción, Argentina (2010-2023).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1"/>
        <w:gridCol w:w="1675"/>
        <w:gridCol w:w="1575"/>
        <w:gridCol w:w="611"/>
        <w:gridCol w:w="1191"/>
        <w:gridCol w:w="936"/>
        <w:gridCol w:w="1555"/>
        <w:gridCol w:w="981"/>
      </w:tblGrid>
      <w:tr>
        <w:trPr>
          <w:trHeight w:val="6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Jurisdicción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AAPC</w:t>
            </w:r>
          </w:p>
        </w:tc>
      </w:tr>
      <w:tr>
        <w:trPr>
          <w:trHeight w:val="678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GC3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Argentina (Total)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-2,6%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-2,6%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-1,3%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-7,0%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Córdoba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-5,7%; -3,8%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-3,0%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-1,8%; 6,3%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Entre Ríos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-2,4%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Santa Fe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-1,9%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-4,3%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Mendoza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-3,9%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-5,0%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-0,7%; 3,1%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-1,0%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-12,7%; 0,6%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-3,1%; 5,9%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Chaco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-1,3%; 5,3%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-0,9%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-5,3%; -1,2%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Corrientes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-0,8%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Formosa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2,4%; 13,0%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-1,7%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-11,0%; -5,1%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Misiones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-8,5%; -3,8%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-2,5%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18,4%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-1,3%; 42,2%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-0,7%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Tucumán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-3,1%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NOA2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1,5%; 8,6%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-2,8%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-6,0%; 0,5%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-0,6%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-3,9%; 2,8%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-3,3%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-7,4%; -3,3%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-3,2%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Sur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-25,3%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-34,5%; -14,9%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-4,7%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2011-2015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0,2%; 8,9%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-5,9%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-7,3%; -4,6%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GC4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Argentina (Total)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0,3%; 7,5%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0,5%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-2,2%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-4,4%; 0,0%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1,1%; 7,4%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-4,5%; 1,4%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2,1%; 9,1%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-4,3%; 2,3%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4,7%; 11,5%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-6,7%; -0,6%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Córdoba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-2,1%; 6,1%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-0,9%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-5,6%; -0,6%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Entre Ríos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-1,5%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Santa Fe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-0,8%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1,1%; 5,6%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-1,1%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-6,9%; -2,7%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Mendoza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2,3%; 10,4%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-5,7%; -0,9%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Cuyo2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-1,9%; 3,4%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-3,3% *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-6,6%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-9,0%; -4,1%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0,9%; 8,6%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-4,8%; -0,2%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Corrientes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-1,0%; 4,4%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-0,6%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-11,4%; 0,8%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-0,3%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Misiones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-9,3%; 17,8%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2013-2014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5,4%; 78,0%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2014-2023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-5,0%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-7,2%; -2,7%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-0,9%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Tucumán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-0,6%; 8,6%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-0,7%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-7,2%; -1,7%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-1,4%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NOA2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-0,1%</w:t>
            </w:r>
          </w:p>
        </w:tc>
      </w:tr>
      <w:tr>
        <w:trPr>
          <w:trHeight w:val="678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-0,8%; 2,3%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-1,8%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2017-2020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-22,7%; 2,2%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-2,8%; 6,1%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-2,4% *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Patagonia Sur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2,2%; 14,3%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-0,9%</w:t>
            </w:r>
          </w:p>
        </w:tc>
      </w:tr>
      <w:tr>
        <w:trPr>
          <w:trHeight w:val="66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-12,3%; -4,5%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83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-8,1%; 18,1%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992" w:hRule="auto"/>
        </w:trPr>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0,05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JP: cantidad de joinpoints; APC: cambio porcentual anual; IC: intervalo de confianza al 95%; AAPC: cambio porcentual anual promedio (IC 95%).</w:t>
            </w:r>
          </w:p>
        </w:tc>
      </w:tr>
    </w:tbl>
    <w:sectPr>
      <w:pgMar w:header="708" w:bottom="1134" w:top="1134" w:right="1134" w:left="113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2026-09-10T11:06:02Z</dcterms:modified>
  <cp:category/>
</cp:coreProperties>
</file>