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1. Variables incluidas en el estudio y categorías de análisis.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1"/>
        <w:gridCol w:w="3969"/>
        <w:gridCol w:w="3969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Valores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 de ocurrencia de la defunción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Regionalización sanitaria utilizada por la DEIS para agrupar las provincias argentinas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Centro; Cuyo; NEA; NOA; Patagonia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de agregación jurisdiccional definido por la DEIS para resguardar la confidencialidad de los datos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Aires; CABA; Córdoba; Entre Ríos; Santa Fe; Mendoza; Cuyo2; Chaco; Corrientes; Formosa; Misiones; Tucumán; NOA1; NOA2; Patagonia Norte; Patagonia Sur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 consignado en el acta de defunción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Masculino; Femenino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etario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Categorías de edad agrupadas según criterios de la DEIS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&lt;20 años; 20-39; 40-49; 50-59; 60-69; 70-79; ≥80 años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nivel 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grandes grupos del GBD-2023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ENT; CE; GC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causa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grupos nivel 2 del GBD-2023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NPL; ECV; CRD; DM-CKD; OTR-ENT; TRA; SH; VI; CA; OTR-CE; GC1; GC2; GC3; GC4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 codificada a cuatro dígitos según la CIE-10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A00.0-Z99.9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muertes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Cantidad anual de defunciones según región, jurisdicción, sexo, grupo etario y causa básica de muerte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Conteo de defunciones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Centro: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CABA, Buenos Aires, Córdoba, Entre Ríos, Santa Fe;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Cuyo2: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Rioja, San Juan, San Luis;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NEA: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Chaco, Corrientes, Formosa, Misiones;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NOA1: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Jujuy, Salta;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Catamarca, Santiago del Estero;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Norte: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Pampa, Neuquén, Río Negro;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Sur: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Chubut, Santa Cruz, Tierra del Fuego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2026-09-03T14:19:22Z</dcterms:modified>
  <cp:category/>
</cp:coreProperties>
</file>