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ac14ebc7811bcccc32daa8020f6623b48990e7"/>
    <w:p>
      <w:pPr>
        <w:pStyle w:val="Heading2"/>
      </w:pPr>
      <w:r>
        <w:t xml:space="preserve">Tabla 1. Variables incluidas en el estudio y categorías de análisis.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1"/>
        <w:gridCol w:w="3969"/>
        <w:gridCol w:w="3969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Valores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Año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Año de ocurrencia de la defunción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Agrupación territorial definida por la DEIS para resguardar la confidencialidad de los datos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Centro; Cuyo; NEA; NOA; Patagonia Norte; Patagonia Sur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Jurisdicción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de agregación jurisdiccional definido por la DEIS para resguardar la confidencialidad de los datos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Buenos Aires; CABA; Chaco; Córdoba; Corrientes; Cuyo2; Entre Ríos; Formosa; Mendoza; Misiones; NOA1; NOA2; Patagonia Norte; Patagonia Sur; Santa Fe; Tucumán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Sexo consignado en el acta de defunción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Masculino; Femenino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Grupo 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Categorías de edad agrupadas según criterios de la DEIS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&lt;20 años; 20-39; 40-49; 50-59; 60-69; 70-79; ≥80 años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Causa básica de muerte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Causa básica de muerte codificada según la CIE-10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A00.0-Z99.9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Grupo de causas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Clasificación de causas según grandes grupos del GBD-2019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CMNN; ENT; CE; GC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Subgrupo de causas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Clasificación de causas según grupos nivel 2 del GBD-2019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CMNN; DM; ECV; ERC; NPL; OENT; TRA; SU; HO; OCE; GC1; GC2; GC3; GC4; NNE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Número de muertes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Cantidad anual de defunciones según región, jurisdicción, sexo, grupo etario y causa básica de muerte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0-Inf</w:t>
            </w:r>
          </w:p>
        </w:tc>
      </w:tr>
    </w:tbl>
    <w:p>
      <w:r>
        <w:br w:type="page"/>
      </w:r>
    </w:p>
    <w:bookmarkEnd w:id="9"/>
    <w:bookmarkStart w:id="10" w:name="X23a1b996ae45924d844bb998869fa9fc8dc3b84"/>
    <w:p>
      <w:pPr>
        <w:pStyle w:val="Heading2"/>
      </w:pPr>
      <w:r>
        <w:t xml:space="preserve">Tabla 2. Principales códigos</w:t>
      </w:r>
      <w:r>
        <w:t xml:space="preserve"> </w:t>
      </w:r>
      <w:r>
        <w:rPr>
          <w:i/>
          <w:iCs/>
        </w:rPr>
        <w:t xml:space="preserve">garbage</w:t>
      </w:r>
      <w:r>
        <w:t xml:space="preserve"> </w:t>
      </w:r>
      <w:r>
        <w:t xml:space="preserve">de nivel 1 y 2 (GC1-GC2) registrados como causa básica de defunción en Argentina (2010-2023).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4"/>
        <w:gridCol w:w="4535"/>
        <w:gridCol w:w="1701"/>
        <w:gridCol w:w="1701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Código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cardíaca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378,844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Otras causas mal definidas y no especificadas de mortalidad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respiratoria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Septicemia no especificada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Neumonitis por alimentos o vómito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renal no especificada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Otras enfermedades del sistema digestivo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Hipertensión esencial (primaria)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37,497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Exposición a factor no especificado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Shock, no clasificado en otra parte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Edema pulmonar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renal aguda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Otras muertes súbitas de causa desconocida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Embolia pulmonar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Peritonitis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1,3%</w:t>
            </w:r>
          </w:p>
        </w:tc>
      </w:tr>
    </w:tbl>
    <w:bookmarkEnd w:id="10"/>
    <w:sectPr>
      <w:pgSz w:h="16838" w:orient="portrait" w:w="11906"/>
      <w:pgMar w:bottom="1133.8582677165355" w:footer="720" w:header="720" w:left="1133.8582677165355" w:right="1133.8582677165355" w:top="1133.8582677165355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 w:val="1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sz w:val="24"/>
        <w:szCs w:val="24"/>
        <w:lang w:val="es"/>
      </w:rPr>
    </w:rPrDefault>
    <w:pPrDefault>
      <w:pPr>
        <w:spacing w:line="36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styleId="Heading2" w:type="paragraph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styleId="Heading3" w:type="paragraph">
    <w:name w:val="heading 3"/>
    <w:basedOn w:val="Normal"/>
    <w:next w:val="Normal"/>
    <w:pPr>
      <w:keepNext w:val="1"/>
      <w:keepLines w:val="1"/>
    </w:pPr>
    <w:rPr/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200" w:lineRule="auto"/>
    </w:pPr>
    <w:rPr>
      <w:b w:val="1"/>
      <w:bCs w:val="1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2026-07-17T15:10:37Z</dcterms:created>
  <dcterms:modified xsi:type="dcterms:W3CDTF">2026-07-17T15:10:37Z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Tabla de contenidos</vt:lpwstr>
  </property>
</Properties>
</file>