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2. Principales códigos garbage de nivel 1 y 2 (GC1-GC2) registrados como causa básica de defunción en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6433"/>
        <w:gridCol w:w="1260"/>
        <w:gridCol w:w="876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Frecuencia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cardíaca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378,844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25,4%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causas mal definidas y las no especificadas de mortalidad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14,8%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respiratoria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A41.9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Septicemia no especificada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152,692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Neumonitis debida a sólidos y líquidos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no especificada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enfermedades del sistema digestivo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Hipertensión esencial (primaria)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Exposición a factores no especificados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Choque no clasificado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Edema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renal aguda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Otras muertes súbitas de causa desconocida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Embolia pulmonar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Peritonitis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Depleción del volumen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Insuficiencia hepática no clasificada en otra parte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Otros síntomas y signos generales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Evento no especificado de intención no 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Hipotensión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Otros síntomas y signos que involucran los sistemas circulatorio y respiratorio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Ahorcamiento estrangulamiento y sofocación de intención no determinada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8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Disparo de otras armas de fuego y las no especificadas de intención no determinada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2026-07-21T08:59:33Z</dcterms:modified>
  <cp:category/>
</cp:coreProperties>
</file>