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dpis1"/>
        <w:numPr>
          <w:ilvl w:val="0"/>
          <w:numId w:val="0"/>
        </w:numPr>
        <w:tabs>
          <w:tab w:val="left" w:pos="0" w:leader="none"/>
          <w:tab w:val="left" w:pos="7412" w:leader="none"/>
        </w:tabs>
        <w:spacing w:lineRule="auto" w:line="276" w:before="0" w:after="0"/>
        <w:ind w:left="0" w:hanging="0"/>
        <w:jc w:val="both"/>
        <w:rPr>
          <w:rFonts w:ascii="Arial Narrow" w:hAnsi="Arial Narrow"/>
          <w:b/>
          <w:b/>
          <w:color w:val="000000" w:themeColor="text1"/>
          <w:sz w:val="28"/>
          <w:lang w:val="sk-SK"/>
        </w:rPr>
      </w:pPr>
      <w:bookmarkStart w:id="0" w:name="__RefHeading___Toc1072_968028077"/>
      <w:bookmarkEnd w:id="0"/>
      <w:r>
        <w:rPr>
          <w:rFonts w:ascii="Arial Narrow" w:hAnsi="Arial Narrow"/>
          <w:b/>
          <w:color w:val="000000" w:themeColor="text1"/>
          <w:sz w:val="28"/>
          <w:lang w:val="sk-SK"/>
        </w:rPr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0"/>
        <w:jc w:val="both"/>
        <w:rPr>
          <w:rFonts w:ascii="Arial Narrow" w:hAnsi="Arial Narrow"/>
          <w:b/>
          <w:b/>
          <w:color w:val="000000" w:themeColor="text1"/>
          <w:sz w:val="28"/>
        </w:rPr>
      </w:pPr>
      <w:r>
        <w:rPr>
          <w:rFonts w:ascii="Arial Narrow" w:hAnsi="Arial Narrow"/>
          <w:b/>
          <w:color w:val="000000" w:themeColor="text1"/>
          <w:sz w:val="28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0"/>
        <w:jc w:val="both"/>
        <w:rPr>
          <w:rFonts w:ascii="Arial Narrow" w:hAnsi="Arial Narrow"/>
          <w:b/>
          <w:b/>
          <w:color w:val="000000" w:themeColor="text1"/>
          <w:sz w:val="28"/>
        </w:rPr>
      </w:pPr>
      <w:r>
        <w:rPr>
          <w:rFonts w:ascii="Arial Narrow" w:hAnsi="Arial Narrow"/>
          <w:b/>
          <w:color w:val="000000" w:themeColor="text1"/>
          <w:sz w:val="28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0"/>
        <w:jc w:val="both"/>
        <w:rPr>
          <w:rFonts w:ascii="Arial Narrow" w:hAnsi="Arial Narrow"/>
          <w:b/>
          <w:b/>
          <w:color w:val="000000" w:themeColor="text1"/>
          <w:sz w:val="28"/>
        </w:rPr>
      </w:pPr>
      <w:r>
        <w:rPr>
          <w:rFonts w:ascii="Arial Narrow" w:hAnsi="Arial Narrow"/>
          <w:b/>
          <w:color w:val="000000" w:themeColor="text1"/>
          <w:sz w:val="28"/>
        </w:rPr>
      </w:r>
    </w:p>
    <w:p>
      <w:pPr>
        <w:pStyle w:val="Normal"/>
        <w:spacing w:lineRule="auto" w:line="276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76"/>
        <w:rPr>
          <w:szCs w:val="22"/>
          <w:lang w:val="en-GB"/>
        </w:rPr>
      </w:pPr>
      <w:r>
        <w:rPr>
          <w:szCs w:val="22"/>
          <w:lang w:val="en-GB"/>
        </w:rPr>
      </w:r>
    </w:p>
    <w:p>
      <w:pPr>
        <w:pStyle w:val="Normal"/>
        <w:spacing w:lineRule="auto" w:line="276"/>
        <w:rPr>
          <w:szCs w:val="22"/>
          <w:lang w:val="en-GB"/>
        </w:rPr>
      </w:pPr>
      <w:r>
        <w:rPr>
          <w:szCs w:val="22"/>
          <w:lang w:val="en-GB"/>
        </w:rPr>
      </w:r>
    </w:p>
    <w:p>
      <w:pPr>
        <w:pStyle w:val="Normal"/>
        <w:spacing w:lineRule="auto" w:line="276"/>
        <w:rPr>
          <w:szCs w:val="22"/>
          <w:lang w:val="en-GB"/>
        </w:rPr>
      </w:pPr>
      <w:r>
        <w:rPr>
          <w:szCs w:val="22"/>
          <w:lang w:val="en-GB"/>
        </w:rPr>
      </w:r>
    </w:p>
    <w:p>
      <w:pPr>
        <w:pStyle w:val="Normal"/>
        <w:spacing w:lineRule="auto" w:line="276"/>
        <w:rPr>
          <w:szCs w:val="22"/>
          <w:lang w:val="en-GB"/>
        </w:rPr>
      </w:pPr>
      <w:r>
        <w:rPr>
          <w:szCs w:val="22"/>
          <w:lang w:val="en-GB"/>
        </w:rPr>
      </w:r>
    </w:p>
    <w:p>
      <w:pPr>
        <w:pStyle w:val="Normal"/>
        <w:spacing w:lineRule="auto" w:line="276"/>
        <w:rPr>
          <w:szCs w:val="22"/>
          <w:lang w:val="en-GB"/>
        </w:rPr>
      </w:pPr>
      <w:r>
        <w:rPr>
          <w:szCs w:val="22"/>
          <w:lang w:val="en-GB"/>
        </w:rPr>
      </w:r>
    </w:p>
    <w:p>
      <w:pPr>
        <w:pStyle w:val="Normal"/>
        <w:spacing w:lineRule="auto" w:line="276"/>
        <w:rPr>
          <w:szCs w:val="22"/>
          <w:lang w:val="en-GB"/>
        </w:rPr>
      </w:pPr>
      <w:r>
        <w:rPr>
          <w:szCs w:val="22"/>
          <w:lang w:val="en-GB"/>
        </w:rPr>
      </w:r>
    </w:p>
    <w:p>
      <w:pPr>
        <w:pStyle w:val="Normal"/>
        <w:spacing w:lineRule="auto" w:line="276"/>
        <w:rPr>
          <w:szCs w:val="22"/>
          <w:lang w:val="en-GB"/>
        </w:rPr>
      </w:pPr>
      <w:r>
        <w:rPr>
          <w:szCs w:val="22"/>
          <w:lang w:val="en-GB"/>
        </w:rPr>
      </w:r>
    </w:p>
    <w:p>
      <w:pPr>
        <w:pStyle w:val="Normal"/>
        <w:spacing w:lineRule="auto" w:line="276"/>
        <w:rPr>
          <w:szCs w:val="22"/>
          <w:lang w:val="en-GB"/>
        </w:rPr>
      </w:pPr>
      <w:r>
        <w:rPr>
          <w:szCs w:val="22"/>
          <w:lang w:val="en-GB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sz w:val="32"/>
          <w:szCs w:val="32"/>
        </w:rPr>
      </w:pPr>
      <w:r>
        <w:rPr/>
      </w:r>
    </w:p>
    <w:p>
      <w:pPr>
        <w:pStyle w:val="Telotextu"/>
        <w:spacing w:before="0" w:after="0"/>
        <w:jc w:val="center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sz w:val="24"/>
          <w:szCs w:val="22"/>
        </w:rPr>
      </w:pPr>
      <w:r>
        <w:rPr>
          <w:rFonts w:cs="Times New Roman" w:ascii="Arial Narrow" w:hAnsi="Arial Narrow"/>
          <w:b/>
          <w:sz w:val="24"/>
          <w:szCs w:val="22"/>
          <w:lang w:val="sk-SK" w:eastAsia="cs-CZ"/>
        </w:rPr>
        <w:t>Národný projekt Otvorené údaje 2.0</w:t>
      </w:r>
    </w:p>
    <w:p>
      <w:pPr>
        <w:pStyle w:val="Telotextu"/>
        <w:spacing w:before="0" w:after="0"/>
        <w:jc w:val="center"/>
        <w:rPr>
          <w:rFonts w:ascii="Arial Narrow" w:hAnsi="Arial Narrow"/>
          <w:sz w:val="24"/>
          <w:szCs w:val="22"/>
        </w:rPr>
      </w:pPr>
      <w:r>
        <w:rPr>
          <w:rFonts w:ascii="Arial Narrow" w:hAnsi="Arial Narrow"/>
          <w:sz w:val="24"/>
          <w:szCs w:val="22"/>
        </w:rPr>
      </w:r>
    </w:p>
    <w:p>
      <w:pPr>
        <w:pStyle w:val="Telotextu"/>
        <w:spacing w:before="0" w:after="120"/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b/>
          <w:bCs/>
          <w:sz w:val="44"/>
          <w:szCs w:val="44"/>
        </w:rPr>
        <w:t xml:space="preserve">PoC </w:t>
      </w:r>
      <w:r>
        <w:rPr>
          <w:rFonts w:ascii="Arial Narrow" w:hAnsi="Arial Narrow"/>
          <w:b/>
          <w:bCs/>
          <w:sz w:val="44"/>
          <w:szCs w:val="44"/>
        </w:rPr>
        <w:t xml:space="preserve">Transformačné a Validačné API pre </w:t>
      </w:r>
    </w:p>
    <w:p>
      <w:pPr>
        <w:pStyle w:val="Telotextu"/>
        <w:spacing w:before="0" w:after="120"/>
        <w:jc w:val="center"/>
        <w:rPr/>
      </w:pPr>
      <w:r>
        <w:rPr>
          <w:rFonts w:ascii="Arial Narrow" w:hAnsi="Arial Narrow"/>
          <w:b/>
          <w:bCs/>
          <w:sz w:val="44"/>
          <w:szCs w:val="44"/>
        </w:rPr>
        <w:t>otvorené údaje</w:t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sz w:val="24"/>
          <w:szCs w:val="22"/>
        </w:rPr>
      </w:pPr>
      <w:r>
        <w:rPr>
          <w:rFonts w:cs="Times New Roman" w:ascii="Arial Narrow" w:hAnsi="Arial Narrow"/>
          <w:b/>
          <w:bCs/>
          <w:sz w:val="24"/>
          <w:szCs w:val="22"/>
          <w:lang w:val="sk-SK" w:eastAsia="cs-CZ"/>
        </w:rPr>
        <w:t>ŠPECIFIKÁCIA DIELA</w:t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2494915</wp:posOffset>
            </wp:positionH>
            <wp:positionV relativeFrom="paragraph">
              <wp:posOffset>133985</wp:posOffset>
            </wp:positionV>
            <wp:extent cx="771525" cy="742950"/>
            <wp:effectExtent l="0" t="0" r="0" b="0"/>
            <wp:wrapNone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ind w:left="3969" w:hanging="0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</w:r>
    </w:p>
    <w:p>
      <w:pPr>
        <w:pStyle w:val="Telotextu"/>
        <w:spacing w:before="0" w:after="0"/>
        <w:ind w:left="3969" w:hanging="0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  <w:t>Miroslav Líška</w:t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Cs w:val="22"/>
        </w:rPr>
      </w:pPr>
      <w:r>
        <w:rPr>
          <w:rFonts w:ascii="Arial Narrow" w:hAnsi="Arial Narrow"/>
          <w:b/>
          <w:bCs/>
          <w:szCs w:val="22"/>
        </w:rPr>
        <w:t>Dátová kancelária MIRRI</w:t>
      </w:r>
    </w:p>
    <w:p>
      <w:pPr>
        <w:pStyle w:val="Telotextu"/>
        <w:spacing w:before="0" w:after="0"/>
        <w:jc w:val="center"/>
        <w:rPr>
          <w:rFonts w:ascii="Arial Narrow" w:hAnsi="Arial Narrow"/>
          <w:b/>
          <w:b/>
          <w:bCs/>
          <w:sz w:val="20"/>
        </w:rPr>
      </w:pPr>
      <w:r>
        <w:rPr>
          <w:rFonts w:ascii="Arial Narrow" w:hAnsi="Arial Narrow"/>
          <w:b/>
          <w:bCs/>
        </w:rPr>
        <w:t>v. 2023-0</w:t>
      </w:r>
      <w:r>
        <w:rPr>
          <w:rFonts w:ascii="Arial Narrow" w:hAnsi="Arial Narrow"/>
          <w:b/>
          <w:bCs/>
        </w:rPr>
        <w:t>2</w:t>
      </w:r>
      <w:r>
        <w:rPr>
          <w:rFonts w:ascii="Arial Narrow" w:hAnsi="Arial Narrow"/>
          <w:b/>
          <w:bCs/>
        </w:rPr>
        <w:t>-</w:t>
      </w:r>
      <w:r>
        <w:rPr>
          <w:rFonts w:ascii="Arial Narrow" w:hAnsi="Arial Narrow"/>
          <w:b/>
          <w:bCs/>
        </w:rPr>
        <w:t>19</w:t>
      </w:r>
      <w:r>
        <w:br w:type="page"/>
      </w:r>
    </w:p>
    <w:p>
      <w:pPr>
        <w:pStyle w:val="Nadpis1"/>
        <w:numPr>
          <w:ilvl w:val="0"/>
          <w:numId w:val="0"/>
        </w:numPr>
        <w:spacing w:lineRule="auto" w:line="276" w:before="0" w:after="0"/>
        <w:ind w:left="431" w:hanging="431"/>
        <w:rPr>
          <w:rFonts w:ascii="Arial Narrow" w:hAnsi="Arial Narrow"/>
          <w:lang w:val="sk-SK"/>
        </w:rPr>
      </w:pPr>
      <w:bookmarkStart w:id="1" w:name="__RefHeading___Toc1074_968028077"/>
      <w:bookmarkStart w:id="2" w:name="_Toc109705774"/>
      <w:bookmarkStart w:id="3" w:name="_Toc89447803"/>
      <w:bookmarkStart w:id="4" w:name="_Toc90453671"/>
      <w:bookmarkStart w:id="5" w:name="_Toc124812562"/>
      <w:bookmarkEnd w:id="1"/>
      <w:r>
        <w:rPr>
          <w:rFonts w:ascii="Arial Narrow" w:hAnsi="Arial Narrow"/>
          <w:lang w:val="sk-SK"/>
        </w:rPr>
        <w:t>Obsah</w:t>
      </w:r>
      <w:bookmarkEnd w:id="2"/>
      <w:bookmarkEnd w:id="3"/>
      <w:bookmarkEnd w:id="4"/>
      <w:bookmarkEnd w:id="5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Obsah1"/>
            <w:rPr/>
          </w:pPr>
          <w:r>
            <w:fldChar w:fldCharType="begin"/>
          </w:r>
          <w:r>
            <w:rPr>
              <w:rStyle w:val="Odkaznaregister"/>
            </w:rPr>
            <w:instrText xml:space="preserve"> TOC \f \o "1-9" \h</w:instrText>
          </w:r>
          <w:r>
            <w:rPr>
              <w:rStyle w:val="Odkaznaregister"/>
            </w:rPr>
            <w:fldChar w:fldCharType="separate"/>
          </w:r>
          <w:hyperlink w:anchor="__RefHeading___Toc1072_968028077">
            <w:r>
              <w:rPr>
                <w:rStyle w:val="Odkaznaregister"/>
              </w:rPr>
              <w:tab/>
              <w:t>1</w:t>
            </w:r>
          </w:hyperlink>
        </w:p>
        <w:p>
          <w:pPr>
            <w:pStyle w:val="Obsah1"/>
            <w:rPr/>
          </w:pPr>
          <w:hyperlink w:anchor="__RefHeading___Toc1074_968028077">
            <w:r>
              <w:rPr>
                <w:rStyle w:val="Odkaznaregister"/>
              </w:rPr>
              <w:t>Obsah</w:t>
              <w:tab/>
              <w:t>2</w:t>
            </w:r>
          </w:hyperlink>
        </w:p>
        <w:p>
          <w:pPr>
            <w:pStyle w:val="Obsah1"/>
            <w:rPr/>
          </w:pPr>
          <w:hyperlink w:anchor="__RefHeading___Toc1076_968028077">
            <w:r>
              <w:rPr>
                <w:rStyle w:val="Odkaznaregister"/>
              </w:rPr>
              <w:t>1 Úvod</w:t>
              <w:tab/>
              <w:t>3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078_968028077">
            <w:r>
              <w:rPr>
                <w:rStyle w:val="Odkaznaregister"/>
              </w:rPr>
              <w:t>1.1 Použité pojmy a skratky</w:t>
              <w:tab/>
              <w:t>3</w:t>
            </w:r>
          </w:hyperlink>
        </w:p>
        <w:p>
          <w:pPr>
            <w:pStyle w:val="Obsah1"/>
            <w:rPr/>
          </w:pPr>
          <w:hyperlink w:anchor="__RefHeading___Toc1080_968028077">
            <w:r>
              <w:rPr>
                <w:rStyle w:val="Odkaznaregister"/>
              </w:rPr>
              <w:t>2 Definícia projektu OU 2.0</w:t>
              <w:tab/>
              <w:t>4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082_968028077">
            <w:r>
              <w:rPr>
                <w:rStyle w:val="Odkaznaregister"/>
              </w:rPr>
              <w:t>2.1 Komponenty OD2.0</w:t>
              <w:tab/>
              <w:t>4</w:t>
            </w:r>
          </w:hyperlink>
        </w:p>
        <w:p>
          <w:pPr>
            <w:pStyle w:val="Obsah1"/>
            <w:rPr/>
          </w:pPr>
          <w:hyperlink w:anchor="__RefHeading___Toc1084_968028077">
            <w:r>
              <w:rPr>
                <w:rStyle w:val="Odkaznaregister"/>
              </w:rPr>
              <w:t>3 Ciele PoC</w:t>
              <w:tab/>
              <w:t>6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086_968028077">
            <w:r>
              <w:rPr>
                <w:rStyle w:val="Odkaznaregister"/>
              </w:rPr>
              <w:t>3.1 Definícia cieľov PoC</w:t>
              <w:tab/>
              <w:t>6</w:t>
            </w:r>
          </w:hyperlink>
        </w:p>
        <w:p>
          <w:pPr>
            <w:pStyle w:val="Obsah1"/>
            <w:rPr/>
          </w:pPr>
          <w:hyperlink w:anchor="__RefHeading___Toc1088_968028077">
            <w:r>
              <w:rPr>
                <w:rStyle w:val="Odkaznaregister"/>
              </w:rPr>
              <w:t>4 Požiadavky</w:t>
              <w:tab/>
              <w:t>7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090_968028077">
            <w:r>
              <w:rPr>
                <w:rStyle w:val="Odkaznaregister"/>
              </w:rPr>
              <w:t>4.1 Katalóg požiadaviek</w:t>
              <w:tab/>
              <w:t>7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092_968028077">
            <w:r>
              <w:rPr>
                <w:rStyle w:val="Odkaznaregister"/>
              </w:rPr>
              <w:t>4.2 Aktéri</w:t>
              <w:tab/>
              <w:t>7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094_968028077">
            <w:r>
              <w:rPr>
                <w:rStyle w:val="Odkaznaregister"/>
              </w:rPr>
              <w:t>4.3 Prípady použitia</w:t>
              <w:tab/>
              <w:t>8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096_968028077">
            <w:r>
              <w:rPr>
                <w:rStyle w:val="Odkaznaregister"/>
              </w:rPr>
              <w:t>4.3.1 Subsystém Validácie distribúcií datasetov</w:t>
              <w:tab/>
              <w:t>8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098_968028077">
            <w:r>
              <w:rPr>
                <w:rStyle w:val="Odkaznaregister"/>
              </w:rPr>
              <w:t>4.3.2 Subsystém Transformácie distribúcií datasetov</w:t>
              <w:tab/>
              <w:t>9</w:t>
            </w:r>
          </w:hyperlink>
        </w:p>
        <w:p>
          <w:pPr>
            <w:pStyle w:val="Obsah1"/>
            <w:rPr/>
          </w:pPr>
          <w:hyperlink w:anchor="__RefHeading___Toc1100_968028077">
            <w:r>
              <w:rPr>
                <w:rStyle w:val="Odkaznaregister"/>
              </w:rPr>
              <w:t>6 Návrh riešenia</w:t>
              <w:tab/>
              <w:t>10</w:t>
            </w:r>
          </w:hyperlink>
        </w:p>
        <w:p>
          <w:pPr>
            <w:pStyle w:val="Obsah2"/>
            <w:tabs>
              <w:tab w:val="clear" w:pos="8789"/>
              <w:tab w:val="right" w:pos="9072" w:leader="dot"/>
            </w:tabs>
            <w:rPr/>
          </w:pPr>
          <w:hyperlink w:anchor="__RefHeading___Toc1100_9680280771">
            <w:r>
              <w:rPr>
                <w:rStyle w:val="Odkaznaregister"/>
              </w:rPr>
              <w:t>6.2 Softvérová architektúra</w:t>
              <w:tab/>
              <w:t>10</w:t>
            </w:r>
          </w:hyperlink>
        </w:p>
        <w:p>
          <w:pPr>
            <w:pStyle w:val="Obsah1"/>
            <w:rPr/>
          </w:pPr>
          <w:hyperlink w:anchor="__RefHeading___Toc1111_968028077">
            <w:r>
              <w:rPr>
                <w:rStyle w:val="Odkaznaregister"/>
              </w:rPr>
              <w:t>7 Implementácia</w:t>
              <w:tab/>
              <w:t>11</w:t>
            </w:r>
          </w:hyperlink>
        </w:p>
        <w:p>
          <w:pPr>
            <w:pStyle w:val="Obsah1"/>
            <w:rPr/>
          </w:pPr>
          <w:hyperlink w:anchor="__RefHeading___Toc1104_968028077">
            <w:r>
              <w:rPr>
                <w:rStyle w:val="Odkaznaregister"/>
              </w:rPr>
              <w:t>8 Referencie</w:t>
              <w:tab/>
              <w:t>12</w:t>
            </w:r>
          </w:hyperlink>
          <w:r>
            <w:rPr>
              <w:rStyle w:val="Odkaznaregister"/>
            </w:rPr>
            <w:fldChar w:fldCharType="end"/>
          </w:r>
        </w:p>
      </w:sdtContent>
    </w:sdt>
    <w:p>
      <w:pPr>
        <w:pStyle w:val="Obsah1"/>
        <w:rPr>
          <w:rFonts w:ascii="Arial Narrow" w:hAnsi="Arial Narrow" w:eastAsia="Arial Narrow" w:cs="Arial Narrow"/>
          <w:lang w:val="de-DE" w:eastAsia="ja-JP"/>
        </w:rPr>
      </w:pPr>
      <w:r>
        <w:rPr>
          <w:rFonts w:eastAsia="Arial Narrow" w:cs="Arial Narrow" w:ascii="Arial Narrow" w:hAnsi="Arial Narrow"/>
          <w:lang w:val="de-DE" w:eastAsia="ja-JP"/>
        </w:rPr>
      </w:r>
    </w:p>
    <w:p>
      <w:pPr>
        <w:pStyle w:val="Obsah1"/>
        <w:rPr/>
      </w:pPr>
      <w:r>
        <w:rPr/>
      </w:r>
    </w:p>
    <w:p>
      <w:pPr>
        <w:pStyle w:val="Obsah1"/>
        <w:spacing w:lineRule="auto" w:line="276" w:before="0" w:after="0"/>
        <w:rPr>
          <w:rFonts w:ascii="Arial Narrow" w:hAnsi="Arial Narrow"/>
        </w:rPr>
      </w:pPr>
      <w:r>
        <w:rPr>
          <w:rFonts w:ascii="Arial Narrow" w:hAnsi="Arial Narrow"/>
        </w:rPr>
      </w:r>
      <w:r>
        <w:br w:type="page"/>
      </w:r>
    </w:p>
    <w:p>
      <w:pPr>
        <w:pStyle w:val="Nadpis1"/>
        <w:numPr>
          <w:ilvl w:val="0"/>
          <w:numId w:val="0"/>
        </w:numPr>
        <w:spacing w:lineRule="auto" w:line="276" w:before="0" w:after="0"/>
        <w:ind w:left="432" w:hanging="0"/>
        <w:rPr>
          <w:rFonts w:ascii="Arial Narrow" w:hAnsi="Arial Narrow"/>
          <w:lang w:val="sk-SK"/>
        </w:rPr>
      </w:pPr>
      <w:r>
        <w:rPr>
          <w:rFonts w:ascii="Arial Narrow" w:hAnsi="Arial Narrow"/>
          <w:lang w:val="sk-SK"/>
        </w:rPr>
      </w:r>
    </w:p>
    <w:p>
      <w:pPr>
        <w:pStyle w:val="Nadpis1"/>
        <w:numPr>
          <w:ilvl w:val="0"/>
          <w:numId w:val="4"/>
        </w:numPr>
        <w:spacing w:lineRule="auto" w:line="276" w:before="0" w:after="0"/>
        <w:ind w:left="431" w:hanging="0"/>
        <w:rPr>
          <w:rFonts w:ascii="Arial Narrow" w:hAnsi="Arial Narrow"/>
          <w:lang w:val="sk-SK"/>
        </w:rPr>
      </w:pPr>
      <w:bookmarkStart w:id="6" w:name="__RefHeading___Toc1076_968028077"/>
      <w:bookmarkStart w:id="7" w:name="_Toc124812563"/>
      <w:bookmarkStart w:id="8" w:name="_Toc109705775"/>
      <w:bookmarkEnd w:id="6"/>
      <w:r>
        <w:rPr>
          <w:rFonts w:ascii="Arial Narrow" w:hAnsi="Arial Narrow"/>
          <w:lang w:val="sk-SK"/>
        </w:rPr>
        <w:t>Úvod</w:t>
      </w:r>
      <w:bookmarkEnd w:id="7"/>
      <w:bookmarkEnd w:id="8"/>
    </w:p>
    <w:p>
      <w:pPr>
        <w:pStyle w:val="Normal"/>
        <w:spacing w:lineRule="auto" w:line="276" w:before="0" w:after="12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76" w:before="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Účelom tohto dokumentu je </w:t>
      </w:r>
      <w:r>
        <w:rPr>
          <w:rFonts w:ascii="Arial Narrow" w:hAnsi="Arial Narrow"/>
        </w:rPr>
        <w:t xml:space="preserve">špecifikácia PoC kompomentu </w:t>
      </w:r>
      <w:r>
        <w:rPr>
          <w:rFonts w:ascii="Arial Narrow" w:hAnsi="Arial Narrow"/>
        </w:rPr>
        <w:t xml:space="preserve">OD2.0 - </w:t>
      </w:r>
    </w:p>
    <w:p>
      <w:pPr>
        <w:pStyle w:val="Normal"/>
        <w:spacing w:lineRule="auto" w:line="276" w:before="0" w:after="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adpis2"/>
        <w:numPr>
          <w:ilvl w:val="1"/>
          <w:numId w:val="3"/>
        </w:numPr>
        <w:ind w:left="368" w:hanging="578"/>
        <w:rPr>
          <w:rFonts w:ascii="Arial Narrow" w:hAnsi="Arial Narrow"/>
          <w:lang w:val="sk-SK"/>
        </w:rPr>
      </w:pPr>
      <w:bookmarkStart w:id="9" w:name="__RefHeading___Toc1078_968028077"/>
      <w:bookmarkStart w:id="10" w:name="_Toc124812564"/>
      <w:bookmarkStart w:id="11" w:name="_Toc109705776"/>
      <w:bookmarkEnd w:id="9"/>
      <w:r>
        <w:rPr/>
        <w:t>Použité pojmy a skratky</w:t>
      </w:r>
      <w:bookmarkEnd w:id="10"/>
      <w:bookmarkEnd w:id="11"/>
    </w:p>
    <w:p>
      <w:pPr>
        <w:pStyle w:val="Normal"/>
        <w:spacing w:lineRule="auto" w:line="276" w:before="0" w:after="120"/>
        <w:rPr>
          <w:rFonts w:ascii="Arial Narrow" w:hAnsi="Arial Narrow"/>
        </w:rPr>
      </w:pPr>
      <w:r>
        <w:rPr>
          <w:rFonts w:ascii="Arial Narrow" w:hAnsi="Arial Narrow"/>
        </w:rPr>
        <w:t>V tomto dokumente sú použité nasledujúce skratky, pojmy a značky:</w:t>
      </w:r>
    </w:p>
    <w:tbl>
      <w:tblPr>
        <w:tblW w:w="9583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06"/>
        <w:gridCol w:w="7376"/>
      </w:tblGrid>
      <w:tr>
        <w:trPr>
          <w:tblHeader w:val="true"/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Skratka / Pojem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Vysvetlenie / Popis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cs="Segoe UI Symbol" w:ascii="Segoe UI Symbol" w:hAnsi="Segoe UI Symbol"/>
                <w:sz w:val="18"/>
                <w:szCs w:val="18"/>
              </w:rPr>
              <w:t>★</w:t>
            </w:r>
            <w:r>
              <w:rPr>
                <w:rFonts w:ascii="Arial Narrow" w:hAnsi="Arial Narrow"/>
                <w:sz w:val="18"/>
                <w:szCs w:val="18"/>
              </w:rPr>
              <w:t xml:space="preserve"> OpenData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Metodika kvality otvorených údajov založená stupňoch strojovej spracovateľnosti a interoperability- https://5stardata.info/en/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CRUD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Skratka pre operácie s dátovými entitami alebo operácie služieb, CREATE, READ, UPDATE, DELETE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CKAN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Publikačná platforma pre otvorené údaje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DCAT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Data Catalog Vocabulary. Štandard pre reprezentáciu metadát o katalógoch, datasetoch i ich distribúciách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DCAT-AP-SK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Platná súčasná národná implementácia DCAT štandardu. Definuje štruktúru, povinné a nepovinné metadáta publikovaných otvorených údajov publikovaná na https://metais.vicepremier.gov.sk/publicspace?pageId=23990179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EÚ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Európska únia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Formát s vysokým potenciálom na znovupoužitie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Formát s vysokým potenciálom na znovupoužitie je definovaný ako štruktúrovaný formát údajov v otvorenom štandarde, t.j. predstavuje úroveň 3</w:t>
            </w:r>
            <w:r>
              <w:rPr>
                <w:rFonts w:cs="Segoe UI Symbol" w:ascii="Segoe UI Symbol" w:hAnsi="Segoe UI Symbol"/>
                <w:sz w:val="18"/>
                <w:szCs w:val="18"/>
              </w:rPr>
              <w:t>★</w:t>
            </w:r>
            <w:r>
              <w:rPr>
                <w:rFonts w:ascii="Arial Narrow" w:hAnsi="Arial Narrow"/>
                <w:sz w:val="18"/>
                <w:szCs w:val="18"/>
              </w:rPr>
              <w:t>kvality otvoren</w:t>
            </w:r>
            <w:r>
              <w:rPr>
                <w:rFonts w:cs="Arial Narrow" w:ascii="Arial Narrow" w:hAnsi="Arial Narrow"/>
                <w:sz w:val="18"/>
                <w:szCs w:val="18"/>
              </w:rPr>
              <w:t>ý</w:t>
            </w:r>
            <w:r>
              <w:rPr>
                <w:rFonts w:ascii="Arial Narrow" w:hAnsi="Arial Narrow"/>
                <w:sz w:val="18"/>
                <w:szCs w:val="18"/>
              </w:rPr>
              <w:t xml:space="preserve">ch </w:t>
            </w:r>
            <w:r>
              <w:rPr>
                <w:rFonts w:cs="Arial Narrow" w:ascii="Arial Narrow" w:hAnsi="Arial Narrow"/>
                <w:sz w:val="18"/>
                <w:szCs w:val="18"/>
              </w:rPr>
              <w:t>ú</w:t>
            </w:r>
            <w:r>
              <w:rPr>
                <w:rFonts w:ascii="Arial Narrow" w:hAnsi="Arial Narrow"/>
                <w:sz w:val="18"/>
                <w:szCs w:val="18"/>
              </w:rPr>
              <w:t>dajov, tj. CSV, XML, ODS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IAM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Identity and Access Management (Modul pre identifikáciu používateľa a riadenie prístupov)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IKT</w:t>
              <w:tab/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Informačné a komunikačné technológie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ISVS, ITVS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Informačné systémy verejnej správy. Pre vývoj a prevádzku ISVS platí vyhláška o štandardoch pre informačné technológie verejnej správy (dostupné na </w:t>
            </w:r>
            <w:hyperlink r:id="rId3">
              <w:r>
                <w:rPr>
                  <w:rStyle w:val="Internetovodkaz"/>
                  <w:rFonts w:ascii="Arial Narrow" w:hAnsi="Arial Narrow"/>
                  <w:sz w:val="18"/>
                  <w:szCs w:val="18"/>
                </w:rPr>
                <w:t>https://www.slov-lex.sk/pravne-predpisy/SK/ZZ/2020/78/20200501</w:t>
              </w:r>
            </w:hyperlink>
            <w:r>
              <w:rPr>
                <w:rFonts w:ascii="Arial Narrow" w:hAnsi="Arial Narrow"/>
                <w:sz w:val="18"/>
                <w:szCs w:val="18"/>
              </w:rPr>
              <w:t>), prípadne verzia aktualizovaná počas plnenia PZ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KPI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Key performance indicator, Kľúčový ukazovateľ výkonnosti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MIRRI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Ministerstvo investícií, regionálneho rozvoja a informatizácie SR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NASES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Národná agentúra pre sieťové a elektronické služby </w:t>
            </w:r>
          </w:p>
        </w:tc>
      </w:tr>
      <w:tr>
        <w:trPr>
          <w:trHeight w:val="64" w:hRule="atLeast"/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NKIVS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Národná koncepcia informatizácie verejnej správy</w:t>
            </w:r>
          </w:p>
        </w:tc>
      </w:tr>
      <w:tr>
        <w:trPr>
          <w:trHeight w:val="64" w:hRule="atLeast"/>
          <w:cantSplit w:val="true"/>
        </w:trPr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NKOD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Národný katalóg otvorených dát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OD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Open Data, otvorené údaje</w:t>
            </w:r>
          </w:p>
        </w:tc>
      </w:tr>
      <w:tr>
        <w:trPr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OPZ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Opis predmetu zákazky</w:t>
            </w:r>
          </w:p>
        </w:tc>
      </w:tr>
      <w:tr>
        <w:trPr>
          <w:trHeight w:val="64" w:hRule="atLeast"/>
          <w:cantSplit w:val="true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OVM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Orgány verejnej moci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dpis1"/>
        <w:numPr>
          <w:ilvl w:val="0"/>
          <w:numId w:val="0"/>
        </w:numPr>
        <w:spacing w:lineRule="auto" w:line="276" w:before="0" w:after="0"/>
        <w:ind w:left="432" w:hanging="0"/>
        <w:rPr>
          <w:rFonts w:ascii="Arial Narrow" w:hAnsi="Arial Narrow"/>
          <w:lang w:val="sk-SK"/>
        </w:rPr>
      </w:pPr>
      <w:r>
        <w:rPr>
          <w:rFonts w:ascii="Arial Narrow" w:hAnsi="Arial Narrow"/>
          <w:lang w:val="sk-SK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adpis2"/>
        <w:numPr>
          <w:ilvl w:val="0"/>
          <w:numId w:val="0"/>
        </w:numPr>
        <w:ind w:left="368" w:hanging="578"/>
        <w:rPr>
          <w:rFonts w:ascii="Arial Narrow" w:hAnsi="Arial Narrow"/>
          <w:lang w:val="sk-SK"/>
        </w:rPr>
      </w:pPr>
      <w:r>
        <w:rPr>
          <w:rFonts w:ascii="Arial Narrow" w:hAnsi="Arial Narrow"/>
          <w:lang w:val="sk-SK"/>
        </w:rPr>
      </w:r>
    </w:p>
    <w:p>
      <w:pPr>
        <w:pStyle w:val="Normal"/>
        <w:spacing w:lineRule="auto" w:line="276" w:before="0" w:after="12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adpis1"/>
        <w:numPr>
          <w:ilvl w:val="0"/>
          <w:numId w:val="0"/>
        </w:numPr>
        <w:spacing w:lineRule="auto" w:line="276" w:before="0" w:after="0"/>
        <w:ind w:left="431" w:hanging="431"/>
        <w:rPr>
          <w:rFonts w:ascii="Arial Narrow" w:hAnsi="Arial Narrow"/>
          <w:lang w:val="sk-SK"/>
        </w:rPr>
      </w:pPr>
      <w:r>
        <w:rPr>
          <w:rFonts w:ascii="Arial Narrow" w:hAnsi="Arial Narrow"/>
          <w:lang w:val="sk-SK"/>
        </w:rPr>
      </w:r>
    </w:p>
    <w:p>
      <w:pPr>
        <w:pStyle w:val="Normal"/>
        <w:spacing w:lineRule="auto" w:line="276" w:before="0" w:after="0"/>
        <w:ind w:left="431" w:hanging="431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adpis1"/>
        <w:numPr>
          <w:ilvl w:val="0"/>
          <w:numId w:val="0"/>
        </w:numPr>
        <w:spacing w:lineRule="auto" w:line="276" w:before="0" w:after="0"/>
        <w:ind w:left="431" w:hanging="431"/>
        <w:rPr>
          <w:rFonts w:ascii="Arial Narrow" w:hAnsi="Arial Narrow"/>
          <w:lang w:val="sk-SK"/>
        </w:rPr>
      </w:pPr>
      <w:r>
        <w:rPr>
          <w:rFonts w:ascii="Arial Narrow" w:hAnsi="Arial Narrow"/>
          <w:lang w:val="sk-SK"/>
        </w:rPr>
      </w:r>
      <w:r>
        <w:br w:type="page"/>
      </w:r>
    </w:p>
    <w:p>
      <w:pPr>
        <w:pStyle w:val="Nadpis1"/>
        <w:numPr>
          <w:ilvl w:val="0"/>
          <w:numId w:val="4"/>
        </w:numPr>
        <w:spacing w:lineRule="auto" w:line="276" w:before="0" w:after="0"/>
        <w:ind w:left="431" w:hanging="431"/>
        <w:rPr>
          <w:rFonts w:ascii="Arial Narrow" w:hAnsi="Arial Narrow"/>
          <w:lang w:val="sk-SK"/>
        </w:rPr>
      </w:pPr>
      <w:bookmarkStart w:id="12" w:name="__RefHeading___Toc1080_968028077"/>
      <w:bookmarkStart w:id="13" w:name="_Toc124812565"/>
      <w:bookmarkStart w:id="14" w:name="_Toc109705777"/>
      <w:bookmarkEnd w:id="12"/>
      <w:r>
        <w:rPr>
          <w:rFonts w:ascii="Arial Narrow" w:hAnsi="Arial Narrow"/>
          <w:lang w:val="sk-SK"/>
        </w:rPr>
        <w:t>Definícia p</w:t>
      </w:r>
      <w:bookmarkStart w:id="15" w:name="_Toc90453672"/>
      <w:r>
        <w:rPr>
          <w:rFonts w:ascii="Arial Narrow" w:hAnsi="Arial Narrow"/>
          <w:lang w:val="sk-SK"/>
        </w:rPr>
        <w:t>rojektu O</w:t>
      </w:r>
      <w:bookmarkEnd w:id="15"/>
      <w:r>
        <w:rPr>
          <w:rFonts w:ascii="Arial Narrow" w:hAnsi="Arial Narrow"/>
          <w:lang w:val="sk-SK"/>
        </w:rPr>
        <w:t>U 2.0</w:t>
      </w:r>
      <w:bookmarkEnd w:id="13"/>
      <w:bookmarkEnd w:id="14"/>
    </w:p>
    <w:p>
      <w:pPr>
        <w:pStyle w:val="Normal"/>
        <w:spacing w:lineRule="auto" w:line="276" w:before="0" w:after="0"/>
        <w:jc w:val="both"/>
        <w:rPr>
          <w:rFonts w:ascii="Arial Narrow" w:hAnsi="Arial Narrow" w:eastAsia="Yu Mincho" w:cs="Arial"/>
        </w:rPr>
      </w:pPr>
      <w:r>
        <w:rPr>
          <w:rFonts w:eastAsia="Yu Mincho" w:cs="Arial" w:ascii="Arial Narrow" w:hAnsi="Arial Narrow"/>
        </w:rPr>
      </w:r>
    </w:p>
    <w:p>
      <w:pPr>
        <w:pStyle w:val="Normal"/>
        <w:spacing w:lineRule="auto" w:line="276" w:before="0" w:after="0"/>
        <w:jc w:val="both"/>
        <w:rPr>
          <w:rFonts w:ascii="Arial Narrow" w:hAnsi="Arial Narrow" w:eastAsia="Calibri" w:cs="Calibri"/>
          <w:color w:val="000000"/>
        </w:rPr>
      </w:pPr>
      <w:r>
        <w:rPr>
          <w:rFonts w:eastAsia="Yu Mincho" w:cs="Arial" w:ascii="Arial Narrow" w:hAnsi="Arial Narrow"/>
        </w:rPr>
        <w:t xml:space="preserve">Národný projekt </w:t>
      </w:r>
      <w:r>
        <w:rPr>
          <w:rFonts w:eastAsia="Yu Mincho" w:cs="Arial" w:ascii="Arial Narrow" w:hAnsi="Arial Narrow"/>
          <w:b/>
          <w:bCs/>
          <w:color w:val="000000"/>
        </w:rPr>
        <w:t xml:space="preserve">Otvorené údaje 2.0 - Rozvoj centrálnych komponentov pre kvalitné zabezpečenie otvorených údajov </w:t>
      </w:r>
      <w:r>
        <w:rPr>
          <w:rFonts w:eastAsia="Yu Mincho" w:cs="Arial" w:ascii="Arial Narrow" w:hAnsi="Arial Narrow"/>
        </w:rPr>
        <w:t>(ďalej iba „OÚ 2.0“)</w:t>
      </w:r>
      <w:r>
        <w:rPr>
          <w:rFonts w:eastAsia="Yu Mincho" w:cs="Arial" w:ascii="Arial Narrow" w:hAnsi="Arial Narrow"/>
          <w:b/>
          <w:bCs/>
        </w:rPr>
        <w:t xml:space="preserve"> </w:t>
      </w:r>
      <w:r>
        <w:rPr>
          <w:rFonts w:eastAsia="Yu Mincho" w:cs="Arial" w:ascii="Arial Narrow" w:hAnsi="Arial Narrow"/>
        </w:rPr>
        <w:t xml:space="preserve">nadväzuje a je pokračovaním národného projektu Elektronické služby Úradu vlády Slovenskej republiky - eDemokracia a otvorená vláda, ktorý bol realizovaný v rámci programového obdobia 2007 – 2013 z prostriedkov Operačného programu Informatizácia spoločnosti a bol realizovaný Národnou agentúrou pre sieťové a elektronické služby, </w:t>
      </w:r>
      <w:r>
        <w:rPr>
          <w:rFonts w:eastAsia="Calibri" w:cs="Calibri" w:ascii="Arial Narrow" w:hAnsi="Arial Narrow"/>
          <w:color w:val="000000"/>
        </w:rPr>
        <w:t xml:space="preserve">prostredníctvom dohody o spolupráci. </w:t>
      </w:r>
    </w:p>
    <w:p>
      <w:pPr>
        <w:pStyle w:val="Normal"/>
        <w:spacing w:lineRule="auto" w:line="276" w:before="0" w:after="0"/>
        <w:jc w:val="both"/>
        <w:rPr>
          <w:rFonts w:ascii="Arial Narrow" w:hAnsi="Arial Narrow" w:eastAsia="Calibri" w:cs="Calibri"/>
          <w:color w:val="000000"/>
        </w:rPr>
      </w:pPr>
      <w:r>
        <w:rPr>
          <w:rFonts w:eastAsia="Calibri" w:cs="Calibri" w:ascii="Arial Narrow" w:hAnsi="Arial Narrow"/>
          <w:color w:val="000000"/>
        </w:rPr>
      </w:r>
    </w:p>
    <w:p>
      <w:pPr>
        <w:pStyle w:val="Normal"/>
        <w:spacing w:lineRule="auto" w:line="276" w:before="0" w:after="0"/>
        <w:jc w:val="both"/>
        <w:rPr>
          <w:rFonts w:ascii="Arial Narrow" w:hAnsi="Arial Narrow"/>
        </w:rPr>
      </w:pPr>
      <w:r>
        <w:rPr>
          <w:rFonts w:eastAsia="Yu Mincho" w:cs="Arial" w:ascii="Arial Narrow" w:hAnsi="Arial Narrow"/>
          <w:color w:val="000000"/>
        </w:rPr>
        <w:t xml:space="preserve">Projekt </w:t>
      </w:r>
      <w:r>
        <w:rPr>
          <w:rFonts w:eastAsia="Calibri" w:cs="Calibri" w:ascii="Arial Narrow" w:hAnsi="Arial Narrow"/>
        </w:rPr>
        <w:t>OÚ 2.0</w:t>
      </w:r>
      <w:r>
        <w:rPr>
          <w:rFonts w:eastAsia="Yu Mincho" w:cs="Arial" w:ascii="Arial Narrow" w:hAnsi="Arial Narrow"/>
          <w:color w:val="000000"/>
        </w:rPr>
        <w:t xml:space="preserve"> realizuje Ministerstvo investícií, regionálneho rozvoja a informatizácie SR a jeho zámerom je rozvoj a dobudovanie centrálnych technických komponentov a prostriedkov na trvalé sprístupnenie otvorených údajov verejnej správy SR. MIRRI bude zároveň prijímateľom nenávratného finančného príspevku z prostriedkov Prioritnej osi 7 Operačného programu Integrovaná infraštruktúra (ďalej len „PO7 OP II“). Nižšie opísané </w:t>
      </w:r>
      <w:r>
        <w:rPr>
          <w:rFonts w:ascii="Arial Narrow" w:hAnsi="Arial Narrow"/>
        </w:rPr>
        <w:t>parametre sú uvedené v </w:t>
      </w:r>
      <w:r>
        <w:rPr>
          <w:rFonts w:cs="Arial" w:ascii="Arial Narrow" w:hAnsi="Arial Narrow"/>
        </w:rPr>
        <w:t xml:space="preserve">Zmluve o poskytnutí nenávratného finančného príspevku č. 311071Y652 uzatvorenej dňa 13.12.2019 (dostupná: </w:t>
      </w:r>
      <w:hyperlink r:id="rId4">
        <w:r>
          <w:rPr>
            <w:rStyle w:val="Internetovodkaz"/>
            <w:rFonts w:cs="Arial" w:ascii="Arial Narrow" w:hAnsi="Arial Narrow"/>
          </w:rPr>
          <w:t>https://www.crz.gov.sk/data/att/4376772_dokument1.pdf</w:t>
        </w:r>
      </w:hyperlink>
      <w:r>
        <w:rPr>
          <w:rFonts w:ascii="Arial Narrow" w:hAnsi="Arial Narrow"/>
          <w:lang w:eastAsia="sk-SK"/>
        </w:rPr>
        <w:t xml:space="preserve"> ).</w:t>
      </w:r>
    </w:p>
    <w:p>
      <w:pPr>
        <w:pStyle w:val="Normal"/>
        <w:spacing w:lineRule="auto" w:line="276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76" w:before="0" w:after="120"/>
        <w:jc w:val="both"/>
        <w:rPr>
          <w:rFonts w:ascii="Arial Narrow" w:hAnsi="Arial Narrow"/>
        </w:rPr>
      </w:pPr>
      <w:r>
        <w:rPr>
          <w:rFonts w:ascii="Arial Narrow" w:hAnsi="Arial Narrow"/>
        </w:rPr>
        <w:t>Cieľom projektu je naplnenie nižšie uvedených cieľov schválených riadiacim orgánom MIRRI:</w:t>
      </w:r>
    </w:p>
    <w:tbl>
      <w:tblPr>
        <w:tblW w:w="9631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949"/>
        <w:gridCol w:w="1162"/>
        <w:gridCol w:w="5520"/>
      </w:tblGrid>
      <w:tr>
        <w:trPr>
          <w:trHeight w:val="678" w:hRule="atLeast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b/>
                <w:b/>
                <w:color w:val="FFFFFF"/>
                <w:sz w:val="20"/>
              </w:rPr>
            </w:pPr>
            <w:r>
              <w:rPr>
                <w:rFonts w:cs="Calibri" w:ascii="Arial Narrow" w:hAnsi="Arial Narrow"/>
                <w:b/>
                <w:color w:val="FFFFFF"/>
                <w:sz w:val="20"/>
              </w:rPr>
              <w:t>PRIORITNÁ OS Operačného programu integrovaná infraštruktúra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Calibri" w:cs="Calibri"/>
                <w:color w:val="000000"/>
                <w:sz w:val="20"/>
              </w:rPr>
            </w:pPr>
            <w:r>
              <w:rPr>
                <w:rFonts w:eastAsia="Calibri" w:cs="Calibri" w:ascii="Arial Narrow" w:hAnsi="Arial Narrow"/>
                <w:color w:val="000000"/>
                <w:sz w:val="20"/>
              </w:rPr>
              <w:t>PO 7</w:t>
            </w:r>
          </w:p>
        </w:tc>
        <w:tc>
          <w:tcPr>
            <w:tcW w:w="5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cs="Calibri" w:ascii="Arial Narrow" w:hAnsi="Arial Narrow"/>
                <w:color w:val="000000"/>
                <w:sz w:val="20"/>
              </w:rPr>
              <w:t>Informačná spoločnosť</w:t>
            </w:r>
          </w:p>
        </w:tc>
      </w:tr>
      <w:tr>
        <w:trPr>
          <w:trHeight w:val="336" w:hRule="atLeast"/>
        </w:trPr>
        <w:tc>
          <w:tcPr>
            <w:tcW w:w="2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b/>
                <w:b/>
                <w:color w:val="FFFFFF"/>
                <w:sz w:val="20"/>
              </w:rPr>
            </w:pPr>
            <w:r>
              <w:rPr>
                <w:rFonts w:cs="Calibri" w:ascii="Arial Narrow" w:hAnsi="Arial Narrow"/>
                <w:b/>
                <w:color w:val="FFFFFF"/>
                <w:sz w:val="20"/>
              </w:rPr>
              <w:t xml:space="preserve">Tematický cieľ </w:t>
            </w:r>
          </w:p>
        </w:tc>
        <w:tc>
          <w:tcPr>
            <w:tcW w:w="116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Yu Mincho" w:cs="Calibri"/>
                <w:color w:val="000000"/>
                <w:sz w:val="20"/>
              </w:rPr>
            </w:pPr>
            <w:r>
              <w:rPr>
                <w:rFonts w:eastAsia="Yu Mincho" w:cs="Calibri" w:ascii="Arial Narrow" w:hAnsi="Arial Narrow"/>
                <w:color w:val="000000"/>
                <w:sz w:val="20"/>
              </w:rPr>
              <w:t>TC2</w:t>
            </w:r>
          </w:p>
        </w:tc>
        <w:tc>
          <w:tcPr>
            <w:tcW w:w="552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eastAsia="Yu Mincho" w:cs="Calibri"/>
                <w:color w:val="000000"/>
                <w:sz w:val="20"/>
              </w:rPr>
            </w:pPr>
            <w:r>
              <w:rPr>
                <w:rFonts w:eastAsia="Yu Mincho" w:cs="Calibri" w:ascii="Arial Narrow" w:hAnsi="Arial Narrow"/>
                <w:color w:val="000000"/>
                <w:sz w:val="20"/>
              </w:rPr>
              <w:t>Zlepšenie prístupu k informačným a komunikačným technológiám a zlepšenie ich využívania a kvality</w:t>
            </w:r>
          </w:p>
        </w:tc>
      </w:tr>
      <w:tr>
        <w:trPr>
          <w:trHeight w:val="493" w:hRule="atLeast"/>
        </w:trPr>
        <w:tc>
          <w:tcPr>
            <w:tcW w:w="2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b/>
                <w:b/>
                <w:color w:val="FFFFFF"/>
                <w:sz w:val="20"/>
              </w:rPr>
            </w:pPr>
            <w:r>
              <w:rPr>
                <w:rFonts w:cs="Calibri" w:ascii="Arial Narrow" w:hAnsi="Arial Narrow"/>
                <w:b/>
                <w:color w:val="FFFFFF"/>
                <w:sz w:val="20"/>
              </w:rPr>
              <w:t>Investičná priorita</w:t>
            </w:r>
          </w:p>
        </w:tc>
        <w:tc>
          <w:tcPr>
            <w:tcW w:w="116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Calibri" w:cs="Calibri"/>
                <w:color w:val="000000"/>
                <w:sz w:val="20"/>
              </w:rPr>
            </w:pPr>
            <w:r>
              <w:rPr>
                <w:rFonts w:eastAsia="Calibri" w:cs="Calibri" w:ascii="Arial Narrow" w:hAnsi="Arial Narrow"/>
                <w:color w:val="000000"/>
                <w:sz w:val="20"/>
              </w:rPr>
              <w:t>2c)</w:t>
            </w:r>
          </w:p>
        </w:tc>
        <w:tc>
          <w:tcPr>
            <w:tcW w:w="552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cs="Calibri" w:ascii="Arial Narrow" w:hAnsi="Arial Narrow"/>
                <w:color w:val="000000"/>
                <w:sz w:val="20"/>
              </w:rPr>
              <w:t>Posilnenie aplikácií IKT v rámci elektronickej štátnej správy, elektronického vzdelávania, elektronickej inklúzie, elektronickej kultúry a elektronického zdravotníctva</w:t>
            </w:r>
          </w:p>
        </w:tc>
      </w:tr>
      <w:tr>
        <w:trPr>
          <w:trHeight w:val="576" w:hRule="atLeast"/>
        </w:trPr>
        <w:tc>
          <w:tcPr>
            <w:tcW w:w="2949" w:type="dxa"/>
            <w:tcBorders>
              <w:left w:val="single" w:sz="4" w:space="0" w:color="000000"/>
              <w:right w:val="single" w:sz="4" w:space="0" w:color="000000"/>
            </w:tcBorders>
            <w:shd w:color="auto" w:fill="002060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b/>
                <w:b/>
                <w:color w:val="FFFFFF"/>
                <w:sz w:val="20"/>
              </w:rPr>
            </w:pPr>
            <w:r>
              <w:rPr>
                <w:rFonts w:cs="Calibri" w:ascii="Arial Narrow" w:hAnsi="Arial Narrow"/>
                <w:b/>
                <w:color w:val="FFFFFF"/>
                <w:sz w:val="20"/>
              </w:rPr>
              <w:t>Špecifické ciele</w:t>
            </w:r>
          </w:p>
        </w:tc>
        <w:tc>
          <w:tcPr>
            <w:tcW w:w="116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Yu Mincho" w:cs="Calibri"/>
                <w:color w:val="000000"/>
                <w:sz w:val="20"/>
              </w:rPr>
            </w:pPr>
            <w:r>
              <w:rPr>
                <w:rFonts w:eastAsia="Yu Mincho" w:cs="Calibri" w:ascii="Arial Narrow" w:hAnsi="Arial Narrow"/>
                <w:color w:val="000000"/>
                <w:sz w:val="20"/>
              </w:rPr>
              <w:t>7.5</w:t>
            </w:r>
          </w:p>
        </w:tc>
        <w:tc>
          <w:tcPr>
            <w:tcW w:w="552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eastAsia="Yu Mincho" w:cs="Calibri"/>
                <w:color w:val="000000"/>
                <w:sz w:val="20"/>
              </w:rPr>
            </w:pPr>
            <w:r>
              <w:rPr>
                <w:rFonts w:eastAsia="Yu Mincho" w:cs="Calibri" w:ascii="Arial Narrow" w:hAnsi="Arial Narrow"/>
                <w:color w:val="000000"/>
                <w:sz w:val="20"/>
              </w:rPr>
              <w:t>Zlepšenie celkovej dostupnosti dát verejnej správy vo forme otvorených dát</w:t>
            </w:r>
          </w:p>
        </w:tc>
      </w:tr>
      <w:tr>
        <w:trPr>
          <w:trHeight w:val="662" w:hRule="atLeast"/>
        </w:trPr>
        <w:tc>
          <w:tcPr>
            <w:tcW w:w="2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b/>
                <w:b/>
                <w:color w:val="FFFFFF"/>
                <w:sz w:val="20"/>
              </w:rPr>
            </w:pPr>
            <w:r>
              <w:rPr>
                <w:rFonts w:cs="Calibri" w:ascii="Arial Narrow" w:hAnsi="Arial Narrow"/>
                <w:b/>
                <w:color w:val="FFFFFF"/>
                <w:sz w:val="20"/>
              </w:rPr>
              <w:t xml:space="preserve">Kód intervencie </w:t>
            </w:r>
          </w:p>
        </w:tc>
        <w:tc>
          <w:tcPr>
            <w:tcW w:w="116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cs="Calibri" w:ascii="Arial Narrow" w:hAnsi="Arial Narrow"/>
                <w:color w:val="000000"/>
                <w:sz w:val="20"/>
              </w:rPr>
              <w:t>079</w:t>
            </w:r>
          </w:p>
        </w:tc>
        <w:tc>
          <w:tcPr>
            <w:tcW w:w="552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eastAsia="Yu Mincho" w:cs="Calibri"/>
                <w:color w:val="000000"/>
                <w:sz w:val="20"/>
              </w:rPr>
            </w:pPr>
            <w:r>
              <w:rPr>
                <w:rFonts w:eastAsia="Yu Mincho" w:cs="Calibri" w:ascii="Arial Narrow" w:hAnsi="Arial Narrow"/>
                <w:color w:val="000000"/>
                <w:sz w:val="20"/>
              </w:rPr>
              <w:t>Prístup k informáciám verejného sektora (vrátane elektronickej kultúry s otvoreným prístupom k údajom, digitálnych knižníc, digitálneho obsahu a elektronického cestovného ruchu)</w:t>
            </w:r>
          </w:p>
        </w:tc>
      </w:tr>
      <w:tr>
        <w:trPr>
          <w:trHeight w:val="510" w:hRule="atLeast"/>
        </w:trPr>
        <w:tc>
          <w:tcPr>
            <w:tcW w:w="294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002060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b/>
                <w:b/>
                <w:color w:val="FFFFFF"/>
                <w:sz w:val="20"/>
              </w:rPr>
            </w:pPr>
            <w:r>
              <w:rPr>
                <w:rFonts w:cs="Calibri" w:ascii="Arial Narrow" w:hAnsi="Arial Narrow"/>
                <w:b/>
                <w:color w:val="FFFFFF"/>
                <w:sz w:val="20"/>
              </w:rPr>
              <w:t>Merateľné ukazovatele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Calibri" w:cs="Calibri"/>
                <w:color w:val="000000"/>
                <w:sz w:val="20"/>
              </w:rPr>
            </w:pPr>
            <w:r>
              <w:rPr>
                <w:rFonts w:eastAsia="Calibri" w:cs="Calibri" w:ascii="Arial Narrow" w:hAnsi="Arial Narrow"/>
                <w:color w:val="000000"/>
                <w:sz w:val="20"/>
              </w:rPr>
              <w:t>P0217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Calibri" w:cs="Calibri"/>
                <w:color w:val="000000"/>
                <w:sz w:val="20"/>
              </w:rPr>
            </w:pPr>
            <w:r>
              <w:rPr>
                <w:rFonts w:eastAsia="Calibri" w:cs="Calibri" w:ascii="Arial Narrow" w:hAnsi="Arial Narrow"/>
                <w:color w:val="000000"/>
                <w:sz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cs="Calibri" w:ascii="Arial Narrow" w:hAnsi="Arial Narrow"/>
                <w:color w:val="000000"/>
                <w:sz w:val="20"/>
              </w:rPr>
            </w:r>
          </w:p>
        </w:tc>
        <w:tc>
          <w:tcPr>
            <w:tcW w:w="5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eastAsia="Yu Mincho" w:cs="Calibri"/>
                <w:color w:val="000000"/>
                <w:sz w:val="20"/>
              </w:rPr>
            </w:pPr>
            <w:r>
              <w:rPr>
                <w:rFonts w:eastAsia="Yu Mincho" w:cs="Calibri" w:ascii="Arial Narrow" w:hAnsi="Arial Narrow"/>
                <w:color w:val="000000"/>
                <w:sz w:val="20"/>
              </w:rPr>
              <w:t>Počet nových datasetov publikovaných vo formáte s vysokým potenciálom na znovupoužitie</w:t>
            </w:r>
          </w:p>
        </w:tc>
      </w:tr>
      <w:tr>
        <w:trPr>
          <w:trHeight w:val="510" w:hRule="atLeast"/>
        </w:trPr>
        <w:tc>
          <w:tcPr>
            <w:tcW w:w="294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Calibri" w:cs="Calibri"/>
                <w:color w:val="000000"/>
                <w:sz w:val="20"/>
              </w:rPr>
            </w:pPr>
            <w:r>
              <w:rPr>
                <w:rFonts w:eastAsia="Calibri" w:cs="Calibri" w:ascii="Arial Narrow" w:hAnsi="Arial Narrow"/>
                <w:color w:val="000000"/>
                <w:sz w:val="20"/>
              </w:rPr>
              <w:t>P0050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color w:val="000000"/>
                <w:sz w:val="20"/>
              </w:rPr>
            </w:pPr>
            <w:r>
              <w:rPr>
                <w:rFonts w:cs="Calibri" w:ascii="Arial Narrow" w:hAnsi="Arial Narrow"/>
                <w:color w:val="000000"/>
                <w:sz w:val="20"/>
              </w:rPr>
            </w:r>
          </w:p>
        </w:tc>
        <w:tc>
          <w:tcPr>
            <w:tcW w:w="5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Arial Narrow" w:hAnsi="Arial Narrow" w:eastAsia="Yu Mincho" w:cs="Calibri"/>
                <w:color w:val="000000"/>
                <w:sz w:val="20"/>
              </w:rPr>
            </w:pPr>
            <w:r>
              <w:rPr>
                <w:rFonts w:eastAsia="Yu Mincho" w:cs="Calibri" w:ascii="Arial Narrow" w:hAnsi="Arial Narrow"/>
                <w:color w:val="000000"/>
                <w:sz w:val="20"/>
              </w:rPr>
              <w:t>Dodatočný počet inštitúcií verejnej správy prepojených s centrálnou platformou pre otvorené dáta</w:t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adpis2"/>
        <w:numPr>
          <w:ilvl w:val="1"/>
          <w:numId w:val="4"/>
        </w:numPr>
        <w:spacing w:lineRule="auto" w:line="276"/>
        <w:ind w:left="426" w:hanging="426"/>
        <w:jc w:val="both"/>
        <w:rPr>
          <w:rFonts w:ascii="Arial Narrow" w:hAnsi="Arial Narrow"/>
          <w:lang w:val="sk-SK"/>
        </w:rPr>
      </w:pPr>
      <w:bookmarkStart w:id="16" w:name="__RefHeading___Toc1082_968028077"/>
      <w:bookmarkStart w:id="17" w:name="_Toc124812566"/>
      <w:bookmarkEnd w:id="16"/>
      <w:r>
        <w:rPr>
          <w:rFonts w:ascii="Arial Narrow" w:hAnsi="Arial Narrow"/>
          <w:lang w:val="sk-SK"/>
        </w:rPr>
        <w:t>Komponenty OD2.0</w:t>
      </w:r>
      <w:bookmarkEnd w:id="17"/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Od času schválenia štúdie uskutočniteľnosti v roku 2019 prešiel projekt, ako aj samotná oblasť otvorených dát mnohými spresneniami, pričom projekt sa logicky rozdelil na samostatné komponenty, ktoré sa vzájomne dopĺňajú. Z dôvodu že je oblasť portálov s otvorenými údajmi výrazne rozvinutá a existuje množstvo štandardov a odporúčaní v rámci EÚ, sú jednotlivé komponenty OD2.0 realizované so zámerom znovapoužitia existujúcich riešení. V tomto smere bolo odstúpené od zámeru vyvinutia úplne nového riešenia portálu s otvorenými údajmi a ako riešenie bolo vybraté znovapoužitie jadra portálu data.gov.cz, ktoré vytvára tzv. </w:t>
      </w:r>
      <w:r>
        <w:rPr>
          <w:rFonts w:ascii="Arial Narrow" w:hAnsi="Arial Narrow"/>
          <w:b/>
          <w:bCs/>
        </w:rPr>
        <w:t>Národný katalóg otvorených údajov</w:t>
      </w:r>
      <w:r>
        <w:rPr>
          <w:rFonts w:ascii="Arial Narrow" w:hAnsi="Arial Narrow"/>
        </w:rPr>
        <w:t xml:space="preserve">. 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 xml:space="preserve">Medzi základné komponenty projektu OD2.0 patria: </w:t>
      </w:r>
    </w:p>
    <w:p>
      <w:pPr>
        <w:pStyle w:val="Normal"/>
        <w:numPr>
          <w:ilvl w:val="0"/>
          <w:numId w:val="5"/>
        </w:numPr>
        <w:rPr>
          <w:rFonts w:ascii="Arial Narrow" w:hAnsi="Arial Narrow"/>
        </w:rPr>
      </w:pPr>
      <w:r>
        <w:rPr>
          <w:rFonts w:eastAsia="" w:cs="" w:ascii="Arial Narrow" w:hAnsi="Arial Narrow" w:cstheme="minorBidi" w:eastAsiaTheme="minorEastAsia"/>
          <w:b/>
          <w:bCs/>
          <w:color w:val="000000" w:themeColor="text1"/>
        </w:rPr>
        <w:t>Národný katalóg otvorených dát</w:t>
      </w:r>
      <w:r>
        <w:rPr>
          <w:rFonts w:eastAsia="" w:cs="" w:ascii="Arial Narrow" w:hAnsi="Arial Narrow" w:cstheme="minorBidi" w:eastAsiaTheme="minorEastAsia"/>
          <w:color w:val="000000" w:themeColor="text1"/>
        </w:rPr>
        <w:t xml:space="preserve"> (</w:t>
      </w:r>
      <w:r>
        <w:rPr>
          <w:rFonts w:eastAsia="" w:cs="" w:ascii="Arial Narrow" w:hAnsi="Arial Narrow" w:cstheme="minorBidi" w:eastAsiaTheme="minorEastAsia"/>
          <w:b/>
          <w:bCs/>
          <w:color w:val="000000" w:themeColor="text1"/>
        </w:rPr>
        <w:t>NKOD</w:t>
      </w:r>
      <w:r>
        <w:rPr>
          <w:rFonts w:eastAsia="" w:cs="" w:ascii="Arial Narrow" w:hAnsi="Arial Narrow" w:cstheme="minorBidi" w:eastAsiaTheme="minorEastAsia"/>
          <w:color w:val="000000" w:themeColor="text1"/>
        </w:rPr>
        <w:t xml:space="preserve">) – dátové jadro vytvorené znovapoužiitím data.gov.cz – tj. RDF databáza, Dátový procesing: harvestovanie lokálnych katalógov, meranie kvality metadát otvorených údajov, SPARQL prístupový bod </w:t>
      </w:r>
    </w:p>
    <w:p>
      <w:pPr>
        <w:pStyle w:val="Normal"/>
        <w:numPr>
          <w:ilvl w:val="0"/>
          <w:numId w:val="5"/>
        </w:numPr>
        <w:rPr>
          <w:rFonts w:ascii="Arial Narrow" w:hAnsi="Arial Narrow"/>
        </w:rPr>
      </w:pPr>
      <w:r>
        <w:rPr>
          <w:rFonts w:eastAsia="" w:cs="" w:ascii="Arial Narrow" w:hAnsi="Arial Narrow" w:cstheme="minorBidi" w:eastAsiaTheme="minorEastAsia"/>
          <w:b/>
          <w:bCs/>
          <w:color w:val="000000" w:themeColor="text1"/>
        </w:rPr>
        <w:t xml:space="preserve">Komerčná časť vládneho cloudu – </w:t>
      </w:r>
      <w:r>
        <w:rPr>
          <w:rFonts w:eastAsia="" w:cs="" w:ascii="Arial Narrow" w:hAnsi="Arial Narrow" w:cstheme="minorBidi" w:eastAsiaTheme="minorEastAsia"/>
          <w:color w:val="000000" w:themeColor="text1"/>
        </w:rPr>
        <w:t>projekt bude bežať v komerčnej časti vládneho cloudu</w:t>
      </w:r>
    </w:p>
    <w:p>
      <w:pPr>
        <w:pStyle w:val="Normal"/>
        <w:numPr>
          <w:ilvl w:val="0"/>
          <w:numId w:val="5"/>
        </w:numPr>
        <w:rPr>
          <w:rFonts w:ascii="Arial Narrow" w:hAnsi="Arial Narrow"/>
        </w:rPr>
      </w:pPr>
      <w:r>
        <w:rPr>
          <w:rFonts w:eastAsia="" w:cs="" w:ascii="Arial Narrow" w:hAnsi="Arial Narrow" w:cstheme="minorBidi" w:eastAsiaTheme="minorEastAsia"/>
          <w:b/>
          <w:bCs/>
          <w:color w:val="000000" w:themeColor="text1"/>
        </w:rPr>
        <w:t>Webový portál pre NKOD</w:t>
      </w:r>
      <w:r>
        <w:rPr>
          <w:rFonts w:eastAsia="" w:cs="" w:ascii="Arial Narrow" w:hAnsi="Arial Narrow" w:cstheme="minorBidi" w:eastAsiaTheme="minorEastAsia"/>
          <w:color w:val="000000" w:themeColor="text1"/>
        </w:rPr>
        <w:t xml:space="preserve"> – Webový portál využívajúci NKOD ako zdroj údajov vytvorení v súlade s jednotným design manuálnom IDSK. </w:t>
      </w:r>
    </w:p>
    <w:p>
      <w:pPr>
        <w:pStyle w:val="Normal"/>
        <w:numPr>
          <w:ilvl w:val="0"/>
          <w:numId w:val="5"/>
        </w:numPr>
        <w:rPr>
          <w:rFonts w:ascii="Arial Narrow" w:hAnsi="Arial Narrow" w:eastAsia="" w:cs="" w:cstheme="minorBidi" w:eastAsiaTheme="minorEastAsia"/>
          <w:color w:val="000000" w:themeColor="text1"/>
        </w:rPr>
      </w:pPr>
      <w:r>
        <w:rPr>
          <w:rFonts w:eastAsia="" w:cs="" w:ascii="Arial Narrow" w:hAnsi="Arial Narrow" w:cstheme="minorBidi" w:eastAsiaTheme="minorEastAsia"/>
          <w:b/>
          <w:bCs/>
          <w:color w:val="000000" w:themeColor="text1"/>
        </w:rPr>
        <w:t>GovGit</w:t>
      </w:r>
      <w:r>
        <w:rPr>
          <w:rFonts w:eastAsia="" w:cs="" w:ascii="Arial Narrow" w:hAnsi="Arial Narrow" w:cstheme="minorBidi" w:eastAsiaTheme="minorEastAsia"/>
          <w:color w:val="000000" w:themeColor="text1"/>
        </w:rPr>
        <w:t xml:space="preserve"> – Platforma pre zdieľanie otvorených zdrojových kódov informačných systémov verejnej správy. </w:t>
      </w:r>
    </w:p>
    <w:p>
      <w:pPr>
        <w:pStyle w:val="Normal"/>
        <w:numPr>
          <w:ilvl w:val="0"/>
          <w:numId w:val="5"/>
        </w:numPr>
        <w:rPr>
          <w:rFonts w:ascii="Arial Narrow" w:hAnsi="Arial Narrow"/>
        </w:rPr>
      </w:pPr>
      <w:r>
        <w:rPr>
          <w:rFonts w:eastAsia="" w:cs="" w:ascii="Arial Narrow" w:hAnsi="Arial Narrow" w:cstheme="minorBidi" w:eastAsiaTheme="minorEastAsia"/>
          <w:b/>
          <w:bCs/>
          <w:color w:val="000000" w:themeColor="text1"/>
        </w:rPr>
        <w:t xml:space="preserve">PoC </w:t>
      </w:r>
      <w:r>
        <w:rPr>
          <w:rFonts w:eastAsia="" w:cs="" w:ascii="Arial Narrow" w:hAnsi="Arial Narrow" w:cstheme="minorBidi" w:eastAsiaTheme="minorEastAsia"/>
          <w:b/>
          <w:bCs/>
          <w:color w:val="000000" w:themeColor="text1"/>
        </w:rPr>
        <w:t>Transformačné a validačné služby pre otvorené údaje</w:t>
      </w:r>
      <w:r>
        <w:rPr>
          <w:rFonts w:eastAsia="" w:cs="" w:ascii="Arial Narrow" w:hAnsi="Arial Narrow" w:cstheme="minorBidi" w:eastAsiaTheme="minorEastAsia"/>
          <w:color w:val="000000" w:themeColor="text1"/>
        </w:rPr>
        <w:t xml:space="preserve"> – samostatný modul, ktorý pre vybranú množinu datasetov (publikačné minimum orgánu verejnej správy) umožňuje validovať ich správnosť a transformovať datasety do distribúcií s iným ako dostupným formátom.</w:t>
      </w:r>
    </w:p>
    <w:p>
      <w:pPr>
        <w:pStyle w:val="Normal"/>
        <w:rPr>
          <w:rFonts w:ascii="Arial Narrow" w:hAnsi="Arial Narrow"/>
        </w:rPr>
      </w:pPr>
      <w:r>
        <w:rPr/>
        <w:br/>
      </w:r>
      <w:r>
        <w:rPr>
          <w:rFonts w:ascii="Arial Narrow" w:hAnsi="Arial Narrow"/>
        </w:rPr>
        <w:t xml:space="preserve">Predmetom </w:t>
      </w:r>
      <w:r>
        <w:rPr>
          <w:rFonts w:ascii="Arial Narrow" w:hAnsi="Arial Narrow"/>
        </w:rPr>
        <w:t>špecifikácie</w:t>
      </w:r>
      <w:r>
        <w:rPr>
          <w:rFonts w:ascii="Arial Narrow" w:hAnsi="Arial Narrow"/>
        </w:rPr>
        <w:t xml:space="preserve"> sú Transformačné a validačné služby pre datasety otvorených údajov.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302000"/>
            <wp:effectExtent l="0" t="0" r="0" b="0"/>
            <wp:wrapSquare wrapText="largest"/>
            <wp:docPr id="2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eastAsia="Yu Gothic Light" w:cs="Calibri"/>
          <w:color w:val="002060"/>
          <w:sz w:val="28"/>
          <w:szCs w:val="32"/>
          <w:lang w:val="en-GB"/>
        </w:rPr>
      </w:pPr>
      <w:r>
        <w:rPr>
          <w:rFonts w:eastAsia="Yu Gothic Light" w:cs="Calibri"/>
          <w:color w:val="002060"/>
          <w:sz w:val="28"/>
          <w:szCs w:val="32"/>
          <w:lang w:val="en-GB"/>
        </w:rPr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adpis1"/>
        <w:numPr>
          <w:ilvl w:val="0"/>
          <w:numId w:val="0"/>
        </w:numPr>
        <w:spacing w:lineRule="auto" w:line="276" w:before="0" w:after="0"/>
        <w:ind w:left="431" w:hanging="431"/>
        <w:rPr>
          <w:rFonts w:ascii="Arial Narrow" w:hAnsi="Arial Narrow"/>
          <w:lang w:val="sk-SK"/>
        </w:rPr>
      </w:pPr>
      <w:r>
        <w:rPr>
          <w:rFonts w:ascii="Arial Narrow" w:hAnsi="Arial Narrow"/>
          <w:lang w:val="sk-SK"/>
        </w:rPr>
      </w:r>
      <w:r>
        <w:br w:type="page"/>
      </w:r>
    </w:p>
    <w:p>
      <w:pPr>
        <w:pStyle w:val="Nadpis1"/>
        <w:numPr>
          <w:ilvl w:val="0"/>
          <w:numId w:val="4"/>
        </w:numPr>
        <w:spacing w:lineRule="auto" w:line="276" w:before="0" w:after="0"/>
        <w:ind w:left="431" w:hanging="431"/>
        <w:rPr>
          <w:rFonts w:ascii="Arial Narrow" w:hAnsi="Arial Narrow"/>
          <w:lang w:val="sk-SK"/>
        </w:rPr>
      </w:pPr>
      <w:bookmarkStart w:id="18" w:name="__RefHeading___Toc1084_968028077"/>
      <w:bookmarkEnd w:id="18"/>
      <w:r>
        <w:rPr>
          <w:rFonts w:ascii="Arial Narrow" w:hAnsi="Arial Narrow"/>
          <w:lang w:val="sk-SK"/>
        </w:rPr>
        <w:t>Ciele PoC</w:t>
      </w:r>
    </w:p>
    <w:p>
      <w:pPr>
        <w:pStyle w:val="Normal"/>
        <w:spacing w:lineRule="auto" w:line="276" w:before="0" w:after="0"/>
        <w:jc w:val="both"/>
        <w:rPr>
          <w:rFonts w:ascii="Arial Narrow" w:hAnsi="Arial Narrow" w:eastAsia="Yu Mincho" w:cs="Arial"/>
        </w:rPr>
      </w:pPr>
      <w:r>
        <w:rPr>
          <w:rFonts w:eastAsia="Yu Mincho" w:cs="Arial" w:ascii="Arial Narrow" w:hAnsi="Arial Narrow"/>
        </w:rPr>
      </w:r>
    </w:p>
    <w:p>
      <w:pPr>
        <w:pStyle w:val="Normal"/>
        <w:spacing w:lineRule="auto" w:line="276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adpis2"/>
        <w:numPr>
          <w:ilvl w:val="1"/>
          <w:numId w:val="4"/>
        </w:numPr>
        <w:spacing w:lineRule="auto" w:line="276"/>
        <w:ind w:left="426" w:hanging="426"/>
        <w:jc w:val="both"/>
        <w:rPr>
          <w:rFonts w:ascii="Arial Narrow" w:hAnsi="Arial Narrow"/>
          <w:lang w:val="sk-SK"/>
        </w:rPr>
      </w:pPr>
      <w:bookmarkStart w:id="19" w:name="__RefHeading___Toc1086_968028077"/>
      <w:bookmarkStart w:id="20" w:name="_Toc124812571"/>
      <w:bookmarkStart w:id="21" w:name="_Toc109705783"/>
      <w:bookmarkEnd w:id="19"/>
      <w:r>
        <w:rPr>
          <w:rFonts w:ascii="Arial Narrow" w:hAnsi="Arial Narrow"/>
          <w:lang w:val="sk-SK"/>
        </w:rPr>
        <w:t xml:space="preserve">Definícia </w:t>
      </w:r>
      <w:r>
        <w:rPr>
          <w:rFonts w:ascii="Arial Narrow" w:hAnsi="Arial Narrow"/>
          <w:lang w:val="sk-SK"/>
        </w:rPr>
        <w:t>cieľov PoC</w:t>
      </w:r>
      <w:bookmarkEnd w:id="20"/>
      <w:bookmarkEnd w:id="2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Cieľom tohto PoC vytvorenie</w:t>
      </w:r>
      <w:r>
        <w:rPr/>
        <w:t xml:space="preserve"> elektronických služieb v podobe samostatného modulu (samostatného servera) poskytujúcu množinu aplikačných programovaných rozhraní API, ktoré pre vybrané datasety: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poskytnú validačnú službu distribúcie daného datasetu, ktorá vyhodnotí jednak syntaktickú správnosť datasetu (formát distribúcie a formáty údajov) ako aj obsahovú časť (dátovú štruktúru a údaje daného datasetu). </w:t>
      </w:r>
    </w:p>
    <w:p>
      <w:pPr>
        <w:pStyle w:val="ListParagraph"/>
        <w:numPr>
          <w:ilvl w:val="0"/>
          <w:numId w:val="2"/>
        </w:numPr>
        <w:rPr/>
      </w:pPr>
      <w:r>
        <w:rPr/>
        <w:t>poskytnú transformačnú službu danej distribúcie datasetu do iného formátu (napr. CSV do RDF alebo opačne)</w:t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Calibri" w:hAnsi="Calibri" w:eastAsia="" w:cs="" w:asciiTheme="minorHAnsi" w:cstheme="minorBidi" w:eastAsiaTheme="minorEastAsia" w:hAnsiTheme="minorHAnsi"/>
          <w:szCs w:val="22"/>
        </w:rPr>
      </w:pPr>
      <w:r>
        <w:rPr/>
        <w:t xml:space="preserve">rozsah podporovaných formátov ako aj použitých štandardov, zoznam validácií a </w:t>
      </w:r>
      <w:r>
        <w:rPr>
          <w:rFonts w:eastAsia="" w:cs="" w:cstheme="minorBidi" w:eastAsiaTheme="minorEastAsia"/>
          <w:szCs w:val="22"/>
        </w:rPr>
        <w:t>transformácií je definovaný v Katalógu požiadaviek</w:t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Calibri" w:hAnsi="Calibri" w:eastAsia="" w:cs="" w:asciiTheme="minorHAnsi" w:cstheme="minorBidi" w:eastAsiaTheme="minorEastAsia" w:hAnsiTheme="minorHAnsi"/>
          <w:szCs w:val="22"/>
        </w:rPr>
      </w:pPr>
      <w:r>
        <w:rPr>
          <w:rFonts w:eastAsia="" w:cs="" w:cstheme="minorBidi" w:eastAsiaTheme="minorEastAsia"/>
          <w:color w:val="000000" w:themeColor="text1"/>
          <w:szCs w:val="22"/>
        </w:rPr>
        <w:t>Systém poskytujúci API určené pre validáciu a transformáciu distribúcií datasetov otvorených údajov musí byť z pohľadu projektu NKOD (Národný katalóg otvorených dát) realizovaný ako externý komponent. NKOD je na tomto systéme nezávislý.</w:t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ascii="Calibri" w:hAnsi="Calibri" w:eastAsia="" w:cs="" w:asciiTheme="minorHAnsi" w:cstheme="minorBidi" w:eastAsiaTheme="minorEastAsia" w:hAnsiTheme="minorHAnsi"/>
          <w:szCs w:val="22"/>
        </w:rPr>
      </w:pPr>
      <w:r>
        <w:rPr>
          <w:rFonts w:eastAsia="" w:cs="" w:cstheme="minorBidi" w:eastAsiaTheme="minorEastAsia"/>
          <w:color w:val="000000" w:themeColor="text1"/>
          <w:szCs w:val="22"/>
        </w:rPr>
        <w:t>Jednotlivé validácie a transformácie distríbúcií datasetov sa neimplementujú priamo v kóde, ale prostredníctvom použitia vhodného ETL systému</w:t>
      </w:r>
    </w:p>
    <w:p>
      <w:pPr>
        <w:pStyle w:val="Normal"/>
        <w:spacing w:lineRule="auto" w:line="276" w:before="0" w:after="0"/>
        <w:ind w:left="284" w:hanging="284"/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</w:t>
      </w:r>
    </w:p>
    <w:p>
      <w:pPr>
        <w:pStyle w:val="Normal"/>
        <w:spacing w:lineRule="auto" w:line="276" w:before="0" w:after="0"/>
        <w:rPr>
          <w:rFonts w:ascii="Arial Narrow" w:hAnsi="Arial Narrow"/>
        </w:rPr>
      </w:pPr>
      <w:r>
        <w:rPr>
          <w:rFonts w:ascii="Arial Narrow" w:hAnsi="Arial Narrow"/>
        </w:rPr>
      </w:r>
      <w:r>
        <w:br w:type="page"/>
      </w:r>
    </w:p>
    <w:p>
      <w:pPr>
        <w:pStyle w:val="Nadpis1"/>
        <w:numPr>
          <w:ilvl w:val="0"/>
          <w:numId w:val="4"/>
        </w:numPr>
        <w:spacing w:lineRule="auto" w:line="276" w:before="0" w:after="0"/>
        <w:ind w:left="431" w:hanging="431"/>
        <w:rPr>
          <w:rFonts w:ascii="Arial Narrow" w:hAnsi="Arial Narrow"/>
          <w:lang w:val="sk-SK"/>
        </w:rPr>
      </w:pPr>
      <w:bookmarkStart w:id="22" w:name="__RefHeading___Toc1088_968028077"/>
      <w:bookmarkStart w:id="23" w:name="_Toc109705785"/>
      <w:bookmarkStart w:id="24" w:name="_Toc90453676"/>
      <w:bookmarkStart w:id="25" w:name="_Toc124812572"/>
      <w:bookmarkEnd w:id="22"/>
      <w:r>
        <w:rPr>
          <w:rFonts w:ascii="Arial Narrow" w:hAnsi="Arial Narrow"/>
          <w:lang w:val="sk-SK"/>
        </w:rPr>
        <w:t>Požiadavky</w:t>
      </w:r>
      <w:bookmarkEnd w:id="23"/>
      <w:bookmarkEnd w:id="24"/>
      <w:bookmarkEnd w:id="25"/>
    </w:p>
    <w:p>
      <w:pPr>
        <w:pStyle w:val="Normal"/>
        <w:spacing w:lineRule="auto" w:line="276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76" w:before="0" w:after="0"/>
        <w:jc w:val="both"/>
        <w:rPr>
          <w:rFonts w:ascii="Arial Narrow" w:hAnsi="Arial Narrow" w:eastAsia="Calibri" w:cs="Calibri"/>
          <w:highlight w:val="yellow"/>
        </w:rPr>
      </w:pPr>
      <w:r>
        <w:rPr>
          <w:rFonts w:ascii="Arial Narrow" w:hAnsi="Arial Narrow"/>
        </w:rPr>
        <w:t>V tejto časti sú uvedené všetky požiadavky na predmet zákazky</w:t>
      </w:r>
      <w:r>
        <w:rPr>
          <w:rFonts w:eastAsia="Calibri" w:cs="Calibri" w:ascii="Arial Narrow" w:hAnsi="Arial Narrow"/>
        </w:rPr>
        <w:t>.</w:t>
      </w:r>
    </w:p>
    <w:p>
      <w:pPr>
        <w:pStyle w:val="Normal"/>
        <w:spacing w:lineRule="auto" w:line="276" w:before="0" w:after="0"/>
        <w:jc w:val="both"/>
        <w:rPr>
          <w:rFonts w:ascii="Arial Narrow" w:hAnsi="Arial Narrow" w:eastAsia="Calibri" w:cs="Calibri"/>
        </w:rPr>
      </w:pPr>
      <w:r>
        <w:rPr>
          <w:rFonts w:eastAsia="Calibri" w:cs="Calibri" w:ascii="Arial Narrow" w:hAnsi="Arial Narrow"/>
        </w:rPr>
      </w:r>
    </w:p>
    <w:p>
      <w:pPr>
        <w:pStyle w:val="Normal"/>
        <w:spacing w:lineRule="auto" w:line="276" w:before="0" w:after="0"/>
        <w:ind w:left="426" w:hanging="426"/>
        <w:jc w:val="both"/>
        <w:rPr>
          <w:rFonts w:ascii="Arial Narrow" w:hAnsi="Arial Narrow" w:eastAsia="Calibri" w:cs="Calibri"/>
        </w:rPr>
      </w:pPr>
      <w:r>
        <w:rPr>
          <w:rFonts w:eastAsia="Calibri" w:cs="Calibri" w:ascii="Arial Narrow" w:hAnsi="Arial Narrow"/>
        </w:rPr>
      </w:r>
    </w:p>
    <w:p>
      <w:pPr>
        <w:pStyle w:val="Nadpis2"/>
        <w:numPr>
          <w:ilvl w:val="1"/>
          <w:numId w:val="4"/>
        </w:numPr>
        <w:spacing w:lineRule="auto" w:line="276"/>
        <w:ind w:left="426" w:hanging="426"/>
        <w:rPr/>
      </w:pPr>
      <w:bookmarkStart w:id="26" w:name="__RefHeading___Toc1090_968028077"/>
      <w:bookmarkStart w:id="27" w:name="_Toc109705786"/>
      <w:bookmarkStart w:id="28" w:name="_Toc90453677"/>
      <w:bookmarkStart w:id="29" w:name="_Toc124812573"/>
      <w:bookmarkEnd w:id="26"/>
      <w:r>
        <w:rPr>
          <w:rFonts w:ascii="Arial Narrow" w:hAnsi="Arial Narrow"/>
          <w:lang w:val="sk-SK"/>
        </w:rPr>
        <w:t>Katalóg požiadaviek</w:t>
      </w:r>
      <w:bookmarkEnd w:id="27"/>
      <w:bookmarkEnd w:id="28"/>
      <w:bookmarkEnd w:id="29"/>
    </w:p>
    <w:p>
      <w:pPr>
        <w:pStyle w:val="Normal"/>
        <w:spacing w:lineRule="auto" w:line="276" w:before="0" w:after="0"/>
        <w:ind w:left="578" w:hanging="578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76" w:before="0" w:after="0"/>
        <w:rPr>
          <w:rFonts w:ascii="Arial Narrow" w:hAnsi="Arial Narrow"/>
        </w:rPr>
      </w:pPr>
      <w:r>
        <w:rPr>
          <w:rFonts w:ascii="Arial Narrow" w:hAnsi="Arial Narrow"/>
        </w:rPr>
        <w:t>Katalóg požiadaviek je nedeliteľnou súčasťou tohto Opisu predmetu dokumentu.</w:t>
      </w:r>
    </w:p>
    <w:p>
      <w:pPr>
        <w:pStyle w:val="Normal"/>
        <w:spacing w:lineRule="auto" w:line="276" w:before="0" w:after="0"/>
        <w:ind w:left="578" w:hanging="578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adpis2"/>
        <w:numPr>
          <w:ilvl w:val="1"/>
          <w:numId w:val="4"/>
        </w:numPr>
        <w:spacing w:lineRule="auto" w:line="276"/>
        <w:ind w:left="578" w:hanging="578"/>
        <w:rPr>
          <w:rFonts w:ascii="Arial Narrow" w:hAnsi="Arial Narrow"/>
          <w:lang w:val="sk-SK"/>
        </w:rPr>
      </w:pPr>
      <w:bookmarkStart w:id="30" w:name="__RefHeading___Toc1092_968028077"/>
      <w:bookmarkStart w:id="31" w:name="_Toc124812574"/>
      <w:bookmarkStart w:id="32" w:name="_Toc90453678"/>
      <w:bookmarkStart w:id="33" w:name="_Toc109705787"/>
      <w:bookmarkEnd w:id="30"/>
      <w:r>
        <w:rPr>
          <w:rFonts w:ascii="Arial Narrow" w:hAnsi="Arial Narrow"/>
          <w:lang w:val="sk-SK"/>
        </w:rPr>
        <w:t>Aktéri</w:t>
      </w:r>
      <w:bookmarkEnd w:id="31"/>
      <w:bookmarkEnd w:id="32"/>
      <w:bookmarkEnd w:id="33"/>
    </w:p>
    <w:tbl>
      <w:tblPr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683"/>
        <w:gridCol w:w="1555"/>
        <w:gridCol w:w="3829"/>
      </w:tblGrid>
      <w:tr>
        <w:trPr>
          <w:tblHeader w:val="true"/>
          <w:cantSplit w:val="true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sz w:val="20"/>
              </w:rPr>
            </w:pPr>
            <w:r>
              <w:rPr>
                <w:rFonts w:cs="Calibri" w:ascii="Arial Narrow" w:hAnsi="Arial Narrow"/>
                <w:sz w:val="20"/>
              </w:rPr>
              <w:t>Názov aktéra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 w:cs="Calibri"/>
                <w:sz w:val="20"/>
              </w:rPr>
            </w:pPr>
            <w:r>
              <w:rPr>
                <w:rFonts w:cs="Calibri" w:ascii="Arial Narrow" w:hAnsi="Arial Narrow"/>
                <w:sz w:val="20"/>
              </w:rPr>
              <w:t>Typ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/>
            </w:pPr>
            <w:r>
              <w:rPr>
                <w:rFonts w:cs="Calibri" w:ascii="Arial Narrow" w:hAnsi="Arial Narrow"/>
                <w:b/>
                <w:sz w:val="20"/>
              </w:rPr>
              <w:t>Popis</w:t>
            </w:r>
          </w:p>
        </w:tc>
      </w:tr>
      <w:tr>
        <w:trPr>
          <w:cantSplit w:val="true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/>
            </w:pPr>
            <w:r>
              <w:rPr>
                <w:rFonts w:eastAsia="Yu Gothic Light" w:cs="Calibri" w:ascii="Arial Narrow" w:hAnsi="Arial Narrow"/>
                <w:color w:val="000000" w:themeColor="text1"/>
                <w:sz w:val="20"/>
              </w:rPr>
              <w:t>Používateľ API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 w:cs="Calibri"/>
                <w:sz w:val="20"/>
              </w:rPr>
            </w:pPr>
            <w:r>
              <w:rPr>
                <w:rFonts w:cs="Calibri" w:ascii="Arial Narrow" w:hAnsi="Arial Narrow"/>
                <w:sz w:val="20"/>
              </w:rPr>
              <w:t>Človek, Stroj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sz w:val="20"/>
              </w:rPr>
            </w:pPr>
            <w:r>
              <w:rPr>
                <w:rFonts w:cs="Calibri" w:ascii="Arial Narrow" w:hAnsi="Arial Narrow"/>
                <w:sz w:val="20"/>
              </w:rPr>
              <w:t>Klient volajúci API</w:t>
            </w:r>
          </w:p>
        </w:tc>
      </w:tr>
      <w:tr>
        <w:trPr>
          <w:cantSplit w:val="true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sz w:val="20"/>
              </w:rPr>
            </w:pPr>
            <w:r>
              <w:rPr>
                <w:rFonts w:cs="Calibri" w:ascii="Arial Narrow" w:hAnsi="Arial Narrow"/>
                <w:sz w:val="20"/>
              </w:rPr>
              <w:t>Správca transformácie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 w:cs="Calibri"/>
                <w:sz w:val="20"/>
              </w:rPr>
            </w:pPr>
            <w:r>
              <w:rPr>
                <w:rFonts w:cs="Calibri" w:ascii="Arial Narrow" w:hAnsi="Arial Narrow"/>
                <w:sz w:val="20"/>
              </w:rPr>
              <w:t>Človek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cs="Calibri"/>
                <w:sz w:val="20"/>
              </w:rPr>
            </w:pPr>
            <w:r>
              <w:rPr>
                <w:rFonts w:cs="Calibri" w:ascii="Arial Narrow" w:hAnsi="Arial Narrow"/>
                <w:sz w:val="20"/>
              </w:rPr>
              <w:t>Tvorba validáčnej, resp. transformačnej pipeliny.</w:t>
            </w:r>
          </w:p>
        </w:tc>
      </w:tr>
      <w:tr>
        <w:trPr>
          <w:cantSplit w:val="true"/>
        </w:trPr>
        <w:tc>
          <w:tcPr>
            <w:tcW w:w="3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Externý ISVS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 w:cs="Calibri"/>
                <w:sz w:val="20"/>
              </w:rPr>
            </w:pPr>
            <w:r>
              <w:rPr>
                <w:rFonts w:cs="Calibri" w:ascii="Arial Narrow" w:hAnsi="Arial Narrow"/>
                <w:sz w:val="20"/>
              </w:rPr>
              <w:t>Stroj</w:t>
            </w:r>
          </w:p>
        </w:tc>
        <w:tc>
          <w:tcPr>
            <w:tcW w:w="3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Externý ISVS používajúci validačné a transformačné API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0"/>
        <w:ind w:left="578" w:hanging="578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adpis2"/>
        <w:numPr>
          <w:ilvl w:val="0"/>
          <w:numId w:val="0"/>
        </w:numPr>
        <w:spacing w:lineRule="auto" w:line="276"/>
        <w:ind w:left="578" w:hanging="578"/>
        <w:rPr>
          <w:rFonts w:ascii="Arial Narrow" w:hAnsi="Arial Narrow"/>
          <w:lang w:val="sk-SK"/>
        </w:rPr>
      </w:pPr>
      <w:r>
        <w:rPr>
          <w:rFonts w:ascii="Arial Narrow" w:hAnsi="Arial Narrow"/>
          <w:lang w:val="sk-SK"/>
        </w:rPr>
      </w:r>
      <w:r>
        <w:br w:type="page"/>
      </w:r>
    </w:p>
    <w:p>
      <w:pPr>
        <w:pStyle w:val="Nadpis2"/>
        <w:numPr>
          <w:ilvl w:val="1"/>
          <w:numId w:val="4"/>
        </w:numPr>
        <w:spacing w:lineRule="auto" w:line="276"/>
        <w:ind w:left="578" w:hanging="578"/>
        <w:rPr>
          <w:rFonts w:ascii="Arial Narrow" w:hAnsi="Arial Narrow"/>
          <w:lang w:val="sk-SK"/>
        </w:rPr>
      </w:pPr>
      <w:bookmarkStart w:id="34" w:name="__RefHeading___Toc1094_968028077"/>
      <w:bookmarkStart w:id="35" w:name="_Toc124812575"/>
      <w:bookmarkEnd w:id="34"/>
      <w:r>
        <w:rPr>
          <w:rFonts w:ascii="Arial Narrow" w:hAnsi="Arial Narrow"/>
          <w:lang w:val="sk-SK"/>
        </w:rPr>
        <w:t>Prípady použitia</w:t>
      </w:r>
      <w:bookmarkEnd w:id="35"/>
    </w:p>
    <w:p>
      <w:pPr>
        <w:pStyle w:val="Nadpis2"/>
        <w:numPr>
          <w:ilvl w:val="2"/>
          <w:numId w:val="4"/>
        </w:numPr>
        <w:spacing w:lineRule="auto" w:line="276"/>
        <w:rPr>
          <w:rFonts w:ascii="Arial Narrow" w:hAnsi="Arial Narrow"/>
          <w:lang w:val="sk-SK"/>
        </w:rPr>
      </w:pPr>
      <w:bookmarkStart w:id="36" w:name="__RefHeading___Toc1096_968028077"/>
      <w:bookmarkStart w:id="37" w:name="_Toc109705788"/>
      <w:bookmarkStart w:id="38" w:name="_Toc90453684"/>
      <w:bookmarkStart w:id="39" w:name="_Toc124812576"/>
      <w:bookmarkEnd w:id="36"/>
      <w:r>
        <w:rPr>
          <w:rFonts w:ascii="Arial Narrow" w:hAnsi="Arial Narrow"/>
          <w:lang w:val="sk-SK"/>
        </w:rPr>
        <w:t>Subsystém Validácie distribúcií datasetov</w:t>
      </w:r>
      <w:bookmarkEnd w:id="37"/>
      <w:bookmarkEnd w:id="38"/>
      <w:bookmarkEnd w:id="39"/>
    </w:p>
    <w:tbl>
      <w:tblPr>
        <w:tblW w:w="90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674"/>
        <w:gridCol w:w="2431"/>
        <w:gridCol w:w="2940"/>
      </w:tblGrid>
      <w:tr>
        <w:trPr>
          <w:trHeight w:val="300" w:hRule="atLeast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2060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FFFFFF" w:themeColor="background1"/>
                <w:sz w:val="20"/>
              </w:rPr>
              <w:t>Pírpad použitia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2060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 w:eastAsia="Arial Narrow" w:cs="Arial Narrow"/>
                <w:color w:val="FFFFFF" w:themeColor="background1"/>
                <w:sz w:val="20"/>
              </w:rPr>
            </w:pPr>
            <w:r>
              <w:rPr>
                <w:rFonts w:eastAsia="Arial Narrow" w:cs="Arial Narrow" w:ascii="Arial Narrow" w:hAnsi="Arial Narrow"/>
                <w:color w:val="FFFFFF" w:themeColor="background1"/>
                <w:sz w:val="20"/>
              </w:rPr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2060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 w:eastAsia="Arial Narrow" w:cs="Arial Narrow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eastAsia="Arial Narrow" w:cs="Arial Narrow" w:ascii="Arial Narrow" w:hAnsi="Arial Narrow"/>
                <w:b/>
                <w:bCs/>
                <w:color w:val="FFFFFF" w:themeColor="background1"/>
                <w:sz w:val="20"/>
              </w:rPr>
              <w:t>Subsystém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Organizačná štruktúra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Kontaktné miesta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Úradné hodiny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Podriadené organizácie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Pracovné skupiny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Prijaté žiadosti podľa infozákona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Strategické dokumenty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Najžiadanejšie otvorené údaje OVM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Katalóg otvorených údajov orgánu verejnej správy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Časový harmonogram sprístupňovania datasetov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Objednávky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Faktúry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Dotácie (schémy, obmedzenia, výzvy, žiadosti)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Validácia distribúcií datasetu Zahraničné služobné cesty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adpis2"/>
        <w:numPr>
          <w:ilvl w:val="2"/>
          <w:numId w:val="4"/>
        </w:numPr>
        <w:spacing w:lineRule="auto" w:line="276"/>
        <w:rPr>
          <w:rFonts w:ascii="Arial Narrow" w:hAnsi="Arial Narrow"/>
          <w:lang w:val="sk-SK"/>
        </w:rPr>
      </w:pPr>
      <w:bookmarkStart w:id="40" w:name="__RefHeading___Toc1098_968028077"/>
      <w:bookmarkStart w:id="41" w:name="_Toc124812577"/>
      <w:bookmarkEnd w:id="40"/>
      <w:r>
        <w:rPr>
          <w:rFonts w:ascii="Arial Narrow" w:hAnsi="Arial Narrow"/>
          <w:lang w:val="sk-SK"/>
        </w:rPr>
        <w:t>Subsystém Transformácie distribúcií datasetov</w:t>
      </w:r>
      <w:bookmarkEnd w:id="41"/>
    </w:p>
    <w:tbl>
      <w:tblPr>
        <w:tblW w:w="90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674"/>
        <w:gridCol w:w="2431"/>
        <w:gridCol w:w="2940"/>
      </w:tblGrid>
      <w:tr>
        <w:trPr>
          <w:trHeight w:val="300" w:hRule="atLeast"/>
        </w:trPr>
        <w:tc>
          <w:tcPr>
            <w:tcW w:w="3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2060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FFFFFF" w:themeColor="background1"/>
                <w:sz w:val="20"/>
              </w:rPr>
              <w:t>Pírpad použitia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2060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 w:eastAsia="Arial Narrow" w:cs="Arial Narrow"/>
                <w:color w:val="FFFFFF" w:themeColor="background1"/>
                <w:sz w:val="20"/>
              </w:rPr>
            </w:pPr>
            <w:r>
              <w:rPr>
                <w:rFonts w:eastAsia="Arial Narrow" w:cs="Arial Narrow" w:ascii="Arial Narrow" w:hAnsi="Arial Narrow"/>
                <w:color w:val="FFFFFF" w:themeColor="background1"/>
                <w:sz w:val="20"/>
              </w:rPr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2060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Arial Narrow" w:hAnsi="Arial Narrow" w:eastAsia="Arial Narrow" w:cs="Arial Narrow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eastAsia="Arial Narrow" w:cs="Arial Narrow" w:ascii="Arial Narrow" w:hAnsi="Arial Narrow"/>
                <w:b/>
                <w:bCs/>
                <w:color w:val="FFFFFF" w:themeColor="background1"/>
                <w:sz w:val="20"/>
              </w:rPr>
              <w:t>Subsystém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Organizačná štruktúra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Kontaktné miesta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Úradné hodiny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Podriadené organizácie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Pracovné skupiny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Prijaté žiadosti podľa infozákona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Strategické dokumenty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Najžiadanejšie otvorené údaje OVM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Katalóg otvorených údajov orgánu verejnej správy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color w:val="000000" w:themeColor="text1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Časový harmonogram sprístupňovania datasetov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Objednávky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Faktúry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Dotácie (schémy, obmedzenia, výzvy, žiadosti)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  <w:tr>
        <w:trPr>
          <w:trHeight w:val="300" w:hRule="atLeast"/>
        </w:trPr>
        <w:tc>
          <w:tcPr>
            <w:tcW w:w="61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120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color w:val="000000" w:themeColor="text1"/>
                <w:sz w:val="20"/>
              </w:rPr>
              <w:t>UC Transformácia distribúcií datasetu Zahraničné služobné cesty</w:t>
            </w:r>
          </w:p>
        </w:tc>
        <w:tc>
          <w:tcPr>
            <w:tcW w:w="29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 Narrow" w:hAnsi="Arial Narrow" w:eastAsia="Arial Narrow" w:cs="Arial Narrow"/>
                <w:sz w:val="20"/>
              </w:rPr>
            </w:pPr>
            <w:r>
              <w:rPr>
                <w:rFonts w:eastAsia="Arial Narrow" w:cs="Arial Narrow" w:ascii="Arial Narrow" w:hAnsi="Arial Narrow"/>
                <w:sz w:val="20"/>
              </w:rPr>
              <w:t>Publikačné minimum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0"/>
        <w:ind w:left="578" w:hanging="57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76" w:before="0" w:after="0"/>
        <w:ind w:left="431" w:hanging="431"/>
        <w:jc w:val="both"/>
        <w:rPr/>
      </w:pPr>
      <w:r>
        <w:rPr/>
      </w:r>
    </w:p>
    <w:p>
      <w:pPr>
        <w:pStyle w:val="Normal"/>
        <w:spacing w:lineRule="auto" w:line="276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adpis2"/>
        <w:numPr>
          <w:ilvl w:val="0"/>
          <w:numId w:val="0"/>
        </w:numPr>
        <w:spacing w:lineRule="auto" w:line="276"/>
        <w:ind w:left="578" w:hanging="578"/>
        <w:rPr>
          <w:rFonts w:ascii="Arial Narrow" w:hAnsi="Arial Narrow"/>
          <w:color w:val="1F4E79" w:themeColor="accent1" w:themeShade="80"/>
          <w:sz w:val="22"/>
          <w:lang w:val="sk-SK"/>
        </w:rPr>
      </w:pPr>
      <w:r>
        <w:rPr>
          <w:rFonts w:ascii="Arial Narrow" w:hAnsi="Arial Narrow"/>
          <w:color w:val="1F4E79" w:themeColor="accent1" w:themeShade="80"/>
          <w:sz w:val="22"/>
          <w:lang w:val="sk-SK"/>
        </w:rPr>
      </w:r>
      <w:r>
        <w:br w:type="page"/>
      </w:r>
    </w:p>
    <w:p>
      <w:pPr>
        <w:pStyle w:val="Nadpis1"/>
        <w:numPr>
          <w:ilvl w:val="0"/>
          <w:numId w:val="0"/>
        </w:numPr>
        <w:spacing w:lineRule="auto" w:line="276" w:before="0" w:after="0"/>
        <w:ind w:left="0" w:hanging="0"/>
        <w:rPr>
          <w:rFonts w:ascii="Arial Narrow" w:hAnsi="Arial Narrow"/>
          <w:lang w:val="sk-SK"/>
        </w:rPr>
      </w:pPr>
      <w:bookmarkStart w:id="42" w:name="__RefHeading___Toc1100_968028077"/>
      <w:bookmarkStart w:id="43" w:name="_Toc124812578"/>
      <w:bookmarkEnd w:id="42"/>
      <w:r>
        <w:rPr>
          <w:rFonts w:ascii="Arial Narrow" w:hAnsi="Arial Narrow"/>
          <w:lang w:val="sk-SK"/>
        </w:rPr>
        <w:t xml:space="preserve">6  </w:t>
      </w:r>
      <w:bookmarkEnd w:id="43"/>
      <w:r>
        <w:rPr>
          <w:rFonts w:ascii="Arial Narrow" w:hAnsi="Arial Narrow"/>
          <w:lang w:val="sk-SK"/>
        </w:rPr>
        <w:t>Návrh riešenia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0" w:leader="none"/>
        </w:tabs>
        <w:spacing w:lineRule="auto" w:line="276" w:before="0" w:after="0"/>
        <w:ind w:left="0" w:hanging="0"/>
        <w:rPr>
          <w:rFonts w:ascii="Arial Narrow" w:hAnsi="Arial Narrow"/>
          <w:lang w:val="sk-SK"/>
        </w:rPr>
      </w:pPr>
      <w:r>
        <w:rPr/>
      </w:r>
    </w:p>
    <w:p>
      <w:pPr>
        <w:pStyle w:val="Nadpis2"/>
        <w:numPr>
          <w:ilvl w:val="0"/>
          <w:numId w:val="0"/>
        </w:numPr>
        <w:ind w:left="-210" w:hanging="0"/>
        <w:rPr>
          <w:rFonts w:ascii="Arial Narrow" w:hAnsi="Arial Narrow"/>
          <w:lang w:val="sk-SK"/>
        </w:rPr>
      </w:pPr>
      <w:r>
        <w:rPr/>
        <w:t>6.1</w:t>
      </w:r>
      <w:bookmarkStart w:id="44" w:name="_Toc1248125782"/>
      <w:r>
        <w:rPr/>
        <w:t xml:space="preserve">  </w:t>
      </w:r>
      <w:bookmarkEnd w:id="44"/>
      <w:r>
        <w:rPr/>
        <w:t>Použitie LinkedPipes</w:t>
      </w:r>
    </w:p>
    <w:p>
      <w:pPr>
        <w:pStyle w:val="Nadpis2"/>
        <w:numPr>
          <w:ilvl w:val="0"/>
          <w:numId w:val="0"/>
        </w:numPr>
        <w:ind w:left="-210" w:hanging="0"/>
        <w:rPr>
          <w:rFonts w:ascii="Arial Narrow" w:hAnsi="Arial Narrow"/>
          <w:lang w:val="sk-SK"/>
        </w:rPr>
      </w:pPr>
      <w:r>
        <w:rPr/>
      </w:r>
    </w:p>
    <w:p>
      <w:pPr>
        <w:pStyle w:val="Nadpis3"/>
        <w:numPr>
          <w:ilvl w:val="0"/>
          <w:numId w:val="0"/>
        </w:numPr>
        <w:ind w:hanging="0"/>
        <w:rPr>
          <w:rFonts w:ascii="Arial Narrow" w:hAnsi="Arial Narrow"/>
          <w:lang w:val="sk-SK"/>
        </w:rPr>
      </w:pPr>
      <w:r>
        <w:rPr/>
        <w:t>6.1.</w:t>
      </w:r>
      <w:r>
        <w:rPr/>
        <w:t>1</w:t>
      </w:r>
      <w:bookmarkStart w:id="45" w:name="_Toc12481257822"/>
      <w:r>
        <w:rPr/>
        <w:t xml:space="preserve">  </w:t>
      </w:r>
      <w:bookmarkEnd w:id="45"/>
      <w:r>
        <w:rPr/>
        <w:t>Publikačné minimum MIRRI – Pipeline (CSV-&gt;RDF)</w:t>
      </w:r>
    </w:p>
    <w:p>
      <w:pPr>
        <w:pStyle w:val="Normal"/>
        <w:ind w:left="-210" w:hanging="0"/>
        <w:rPr>
          <w:rFonts w:ascii="Arial Narrow" w:hAnsi="Arial Narrow"/>
          <w:lang w:val="sk-SK"/>
        </w:rPr>
      </w:pPr>
      <w:r>
        <w:rPr/>
      </w:r>
    </w:p>
    <w:p>
      <w:pPr>
        <w:pStyle w:val="Normal"/>
        <w:ind w:left="-210" w:hanging="0"/>
        <w:rPr>
          <w:rFonts w:ascii="Arial Narrow" w:hAnsi="Arial Narrow"/>
          <w:lang w:val="sk-SK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4070" cy="2858770"/>
            <wp:effectExtent l="0" t="0" r="0" b="0"/>
            <wp:wrapSquare wrapText="largest"/>
            <wp:docPr id="3" name="Obrázo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210" w:hanging="0"/>
        <w:rPr>
          <w:rFonts w:ascii="Arial Narrow" w:hAnsi="Arial Narrow"/>
          <w:lang w:val="sk-SK"/>
        </w:rPr>
      </w:pPr>
      <w:r>
        <w:rPr/>
      </w:r>
    </w:p>
    <w:p>
      <w:pPr>
        <w:pStyle w:val="Normal"/>
        <w:ind w:left="-210" w:hanging="0"/>
        <w:rPr>
          <w:rFonts w:ascii="Arial Narrow" w:hAnsi="Arial Narrow"/>
          <w:lang w:val="sk-SK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-66675</wp:posOffset>
            </wp:positionH>
            <wp:positionV relativeFrom="paragraph">
              <wp:posOffset>381000</wp:posOffset>
            </wp:positionV>
            <wp:extent cx="5894070" cy="2858770"/>
            <wp:effectExtent l="0" t="0" r="0" b="0"/>
            <wp:wrapSquare wrapText="largest"/>
            <wp:docPr id="4" name="Obrázo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210" w:hanging="0"/>
        <w:rPr>
          <w:rFonts w:ascii="Arial Narrow" w:hAnsi="Arial Narrow"/>
          <w:lang w:val="sk-SK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Príklad: </w:t>
      </w:r>
    </w:p>
    <w:p>
      <w:pPr>
        <w:pStyle w:val="Normal"/>
        <w:rPr/>
      </w:pPr>
      <w:r>
        <w:rPr>
          <w:b/>
          <w:bCs/>
        </w:rPr>
        <w:t>Vstup</w:t>
      </w:r>
      <w:r>
        <w:rPr/>
        <w:t>: tabularizovaný CSV dataset kontaktných miest MIRRI</w:t>
      </w:r>
    </w:p>
    <w:p>
      <w:pPr>
        <w:pStyle w:val="Normal"/>
        <w:rPr/>
      </w:pPr>
      <w:r>
        <w:rPr>
          <w:b/>
          <w:bCs/>
        </w:rPr>
        <w:t>Výstup</w:t>
      </w:r>
      <w:r>
        <w:rPr/>
        <w:t xml:space="preserve">: RDF dataset kontaktných miest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598795"/>
            <wp:effectExtent l="0" t="0" r="0" b="0"/>
            <wp:wrapSquare wrapText="largest"/>
            <wp:docPr id="5" name="Obrázo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adpis2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before="0" w:after="0"/>
        <w:ind w:left="-210" w:hanging="0"/>
        <w:jc w:val="left"/>
        <w:rPr>
          <w:rFonts w:eastAsia="Yu Gothic Light" w:cs="Calibri"/>
          <w:bCs w:val="false"/>
          <w:color w:val="002060"/>
          <w:sz w:val="28"/>
          <w:szCs w:val="32"/>
          <w:lang w:val="en-GB" w:eastAsia="cs-CZ"/>
        </w:rPr>
      </w:pPr>
      <w:bookmarkStart w:id="46" w:name="_Toc1248125781"/>
      <w:r>
        <w:rPr>
          <w:rFonts w:eastAsia="Yu Gothic Light" w:cs="Calibri"/>
          <w:bCs w:val="false"/>
          <w:color w:val="002060"/>
          <w:sz w:val="28"/>
          <w:szCs w:val="32"/>
          <w:lang w:val="en-GB" w:eastAsia="cs-CZ"/>
        </w:rPr>
        <w:t>6.2</w:t>
      </w:r>
      <w:bookmarkStart w:id="47" w:name="_Toc12481257821"/>
      <w:r>
        <w:rPr>
          <w:rFonts w:eastAsia="Yu Gothic Light" w:cs="Calibri"/>
          <w:bCs w:val="false"/>
          <w:color w:val="002060"/>
          <w:sz w:val="28"/>
          <w:szCs w:val="32"/>
          <w:lang w:val="en-GB" w:eastAsia="cs-CZ"/>
        </w:rPr>
        <w:t xml:space="preserve">  Softvérová architektúra</w:t>
      </w:r>
      <w:bookmarkEnd w:id="46"/>
      <w:bookmarkEnd w:id="47"/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bidi w:val="0"/>
        <w:spacing w:before="0" w:after="0"/>
        <w:ind w:left="-210" w:hanging="0"/>
        <w:jc w:val="left"/>
        <w:outlineLvl w:val="1"/>
        <w:rPr>
          <w:rFonts w:ascii="Arial Narrow" w:hAnsi="Arial Narrow"/>
          <w:lang w:val="sk-SK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bidi w:val="0"/>
        <w:spacing w:before="0" w:after="0"/>
        <w:ind w:left="-210" w:hanging="0"/>
        <w:jc w:val="left"/>
        <w:outlineLvl w:val="1"/>
        <w:rPr>
          <w:rFonts w:ascii="Arial Narrow" w:hAnsi="Arial Narrow"/>
          <w:lang w:val="sk-SK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4070" cy="2403475"/>
            <wp:effectExtent l="0" t="0" r="0" b="0"/>
            <wp:wrapSquare wrapText="largest"/>
            <wp:docPr id="6" name="Obrázo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" w:name="__RefHeading___Toc1111_968028077"/>
      <w:bookmarkStart w:id="49" w:name="__RefHeading___Toc1111_968028077"/>
      <w:bookmarkEnd w:id="49"/>
      <w:r>
        <w:br w:type="page"/>
      </w:r>
    </w:p>
    <w:p>
      <w:pPr>
        <w:pStyle w:val="Nadpis1"/>
        <w:numPr>
          <w:ilvl w:val="0"/>
          <w:numId w:val="0"/>
        </w:numPr>
        <w:spacing w:lineRule="auto" w:line="276" w:before="0" w:after="0"/>
        <w:ind w:left="0" w:hanging="0"/>
        <w:rPr>
          <w:rFonts w:ascii="Arial Narrow" w:hAnsi="Arial Narrow"/>
          <w:szCs w:val="36"/>
          <w:lang w:val="sk-SK"/>
        </w:rPr>
      </w:pPr>
      <w:bookmarkStart w:id="50" w:name="__RefHeading___Toc1104_968028077"/>
      <w:bookmarkEnd w:id="50"/>
      <w:r>
        <w:rPr>
          <w:rFonts w:ascii="Arial Narrow" w:hAnsi="Arial Narrow"/>
          <w:szCs w:val="36"/>
          <w:lang w:val="sk-SK"/>
        </w:rPr>
        <w:t>7</w:t>
      </w:r>
      <w:bookmarkStart w:id="51" w:name="_Toc124812579"/>
      <w:bookmarkStart w:id="52" w:name="_Toc109705811"/>
      <w:bookmarkStart w:id="53" w:name="_Toc90453702"/>
      <w:r>
        <w:rPr>
          <w:rFonts w:ascii="Arial Narrow" w:hAnsi="Arial Narrow"/>
          <w:szCs w:val="36"/>
          <w:lang w:val="sk-SK"/>
        </w:rPr>
        <w:t xml:space="preserve">  </w:t>
      </w:r>
      <w:bookmarkEnd w:id="51"/>
      <w:bookmarkEnd w:id="52"/>
      <w:bookmarkEnd w:id="53"/>
      <w:r>
        <w:rPr>
          <w:rFonts w:ascii="Arial Narrow" w:hAnsi="Arial Narrow"/>
          <w:szCs w:val="36"/>
          <w:lang w:val="sk-SK"/>
        </w:rPr>
        <w:t>Referencie</w:t>
      </w:r>
    </w:p>
    <w:p>
      <w:pPr>
        <w:pStyle w:val="Normal"/>
        <w:spacing w:lineRule="auto" w:line="276" w:before="0" w:after="0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</w:r>
    </w:p>
    <w:p>
      <w:pPr>
        <w:pStyle w:val="Normal"/>
        <w:rPr>
          <w:rFonts w:ascii="Arial Narrow" w:hAnsi="Arial Narrow" w:eastAsia="Arial Narrow" w:cs="Arial Narrow"/>
          <w:color w:val="C00000"/>
        </w:rPr>
      </w:pPr>
      <w:r>
        <w:rPr/>
      </w:r>
    </w:p>
    <w:p>
      <w:pPr>
        <w:pStyle w:val="Normal"/>
        <w:spacing w:lineRule="auto" w:line="276" w:before="0" w:after="0"/>
        <w:rPr>
          <w:rFonts w:ascii="Arial Narrow" w:hAnsi="Arial Narrow"/>
          <w:szCs w:val="22"/>
        </w:rPr>
      </w:pPr>
      <w:hyperlink r:id="rId11">
        <w:r>
          <w:rPr>
            <w:rStyle w:val="Internetovodkaz"/>
          </w:rPr>
          <w:t>https://linkedpipes.com/</w:t>
        </w:r>
      </w:hyperlink>
    </w:p>
    <w:p>
      <w:pPr>
        <w:pStyle w:val="Normal"/>
        <w:spacing w:lineRule="auto" w:line="276" w:before="0" w:after="0"/>
        <w:rPr>
          <w:rFonts w:ascii="Arial Narrow" w:hAnsi="Arial Narrow"/>
          <w:szCs w:val="22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utura Bk">
    <w:charset w:val="01"/>
    <w:family w:val="roman"/>
    <w:pitch w:val="variable"/>
  </w:font>
  <w:font w:name="Arial Narrow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ta"/>
      <w:ind w:left="-142" w:right="-573" w:hanging="0"/>
      <w:jc w:val="right"/>
      <w:rPr/>
    </w:pPr>
    <w:r>
      <w:rPr>
        <w:rFonts w:eastAsia="Yu Mincho" w:cs="Calibri"/>
        <w:b/>
        <w:bCs/>
        <w:color w:val="44546A"/>
        <w:sz w:val="16"/>
        <w:szCs w:val="16"/>
      </w:rPr>
      <w:t xml:space="preserve">Otvorené údaje 2.0  </w:t>
    </w:r>
    <w:r>
      <w:rPr>
        <w:rFonts w:eastAsia="Yu Mincho" w:cs="Calibri"/>
        <w:color w:val="ACB9CA"/>
        <w:sz w:val="16"/>
        <w:szCs w:val="16"/>
      </w:rPr>
      <w:t>/</w:t>
    </w:r>
    <w:r>
      <w:rPr>
        <w:rFonts w:eastAsia="Yu Mincho" w:cs="Calibri"/>
        <w:b/>
        <w:bCs/>
        <w:color w:val="44546A"/>
        <w:sz w:val="16"/>
        <w:szCs w:val="16"/>
      </w:rPr>
      <w:t xml:space="preserve"> </w:t>
    </w:r>
    <w:r>
      <w:rPr>
        <w:rFonts w:eastAsia="Yu Mincho" w:cs="Calibri"/>
        <w:b/>
        <w:bCs/>
        <w:color w:val="44546A"/>
        <w:sz w:val="16"/>
        <w:szCs w:val="16"/>
      </w:rPr>
      <w:t>Transformačné a validačné API pre Otvorené údaje</w:t>
    </w:r>
    <w:r>
      <w:rPr>
        <w:rFonts w:cs="Calibri"/>
        <w:color w:val="44546A"/>
        <w:sz w:val="16"/>
        <w:szCs w:val="16"/>
      </w:rPr>
      <w:tab/>
      <w:tab/>
    </w:r>
    <w:r>
      <w:rPr>
        <w:rFonts w:cs="Calibri"/>
        <w:color w:val="44546A"/>
        <w:sz w:val="16"/>
        <w:szCs w:val="16"/>
        <w:shd w:fill="E6E6E6" w:val="clear"/>
      </w:rPr>
      <w:fldChar w:fldCharType="begin"/>
    </w:r>
    <w:r>
      <w:rPr>
        <w:sz w:val="16"/>
        <w:shd w:fill="E6E6E6" w:val="clear"/>
        <w:szCs w:val="16"/>
        <w:rFonts w:cs="Calibri"/>
        <w:color w:val="44546A"/>
      </w:rPr>
      <w:instrText xml:space="preserve"> PAGE </w:instrText>
    </w:r>
    <w:r>
      <w:rPr>
        <w:sz w:val="16"/>
        <w:shd w:fill="E6E6E6" w:val="clear"/>
        <w:szCs w:val="16"/>
        <w:rFonts w:cs="Calibri"/>
        <w:color w:val="44546A"/>
      </w:rPr>
      <w:fldChar w:fldCharType="separate"/>
    </w:r>
    <w:r>
      <w:rPr>
        <w:sz w:val="16"/>
        <w:shd w:fill="E6E6E6" w:val="clear"/>
        <w:szCs w:val="16"/>
        <w:rFonts w:cs="Calibri"/>
        <w:color w:val="44546A"/>
      </w:rPr>
      <w:t>13</w:t>
    </w:r>
    <w:r>
      <w:rPr>
        <w:sz w:val="16"/>
        <w:shd w:fill="E6E6E6" w:val="clear"/>
        <w:szCs w:val="16"/>
        <w:rFonts w:cs="Calibri"/>
        <w:color w:val="44546A"/>
      </w:rPr>
      <w:fldChar w:fldCharType="end"/>
    </w:r>
  </w:p>
  <w:p>
    <w:pPr>
      <w:pStyle w:val="Pta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hlavie"/>
      <w:rPr/>
    </w:pPr>
    <w:r>
      <w:rPr/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2181225" cy="499110"/>
          <wp:effectExtent l="0" t="0" r="0" b="0"/>
          <wp:wrapNone/>
          <wp:docPr id="7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dpis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32"/>
        <w:b/>
        <w:szCs w:val="36"/>
      </w:rPr>
    </w:lvl>
    <w:lvl w:ilvl="1">
      <w:start w:val="1"/>
      <w:pStyle w:val="Nadpis2"/>
      <w:numFmt w:val="decimal"/>
      <w:lvlText w:val="%1.%2"/>
      <w:lvlJc w:val="left"/>
      <w:pPr>
        <w:tabs>
          <w:tab w:val="num" w:pos="0"/>
        </w:tabs>
        <w:ind w:left="1154" w:hanging="576"/>
      </w:pPr>
      <w:rPr>
        <w:sz w:val="22"/>
        <w:b w:val="false"/>
        <w:szCs w:val="28"/>
      </w:rPr>
    </w:lvl>
    <w:lvl w:ilvl="2">
      <w:start w:val="1"/>
      <w:pStyle w:val="Nadpis3"/>
      <w:numFmt w:val="decimal"/>
      <w:lvlText w:val="%1.%2.%3"/>
      <w:lvlJc w:val="left"/>
      <w:pPr>
        <w:tabs>
          <w:tab w:val="num" w:pos="0"/>
        </w:tabs>
        <w:ind w:left="1298" w:hanging="720"/>
      </w:pPr>
      <w:rPr/>
    </w:lvl>
    <w:lvl w:ilvl="3">
      <w:start w:val="1"/>
      <w:pStyle w:val="Nadpis4"/>
      <w:numFmt w:val="decimal"/>
      <w:lvlText w:val="%1.%2.%3.%4"/>
      <w:lvlJc w:val="left"/>
      <w:pPr>
        <w:tabs>
          <w:tab w:val="num" w:pos="0"/>
        </w:tabs>
        <w:ind w:left="1442" w:hanging="864"/>
      </w:pPr>
      <w:rPr/>
    </w:lvl>
    <w:lvl w:ilvl="4">
      <w:start w:val="1"/>
      <w:pStyle w:val="Nadpis5"/>
      <w:numFmt w:val="decimal"/>
      <w:lvlText w:val="%1.%2.%3.%4.%5"/>
      <w:lvlJc w:val="left"/>
      <w:pPr>
        <w:tabs>
          <w:tab w:val="num" w:pos="0"/>
        </w:tabs>
        <w:ind w:left="1586" w:hanging="1008"/>
      </w:pPr>
      <w:rPr/>
    </w:lvl>
    <w:lvl w:ilvl="5">
      <w:start w:val="1"/>
      <w:pStyle w:val="Nadpis6"/>
      <w:numFmt w:val="decimal"/>
      <w:lvlText w:val="%1.%2.%3.%4.%5.%6"/>
      <w:lvlJc w:val="left"/>
      <w:pPr>
        <w:tabs>
          <w:tab w:val="num" w:pos="0"/>
        </w:tabs>
        <w:ind w:left="1730" w:hanging="1152"/>
      </w:pPr>
      <w:rPr/>
    </w:lvl>
    <w:lvl w:ilvl="6">
      <w:start w:val="1"/>
      <w:pStyle w:val="Nadpis7"/>
      <w:numFmt w:val="decimal"/>
      <w:lvlText w:val="%1.%2.%3.%4.%5.%6.%7"/>
      <w:lvlJc w:val="left"/>
      <w:pPr>
        <w:tabs>
          <w:tab w:val="num" w:pos="0"/>
        </w:tabs>
        <w:ind w:left="1874" w:hanging="1296"/>
      </w:pPr>
      <w:rPr/>
    </w:lvl>
    <w:lvl w:ilvl="7">
      <w:start w:val="1"/>
      <w:pStyle w:val="Nadpis8"/>
      <w:numFmt w:val="decimal"/>
      <w:lvlText w:val="%1.%2.%3.%4.%5.%6.%7.%8"/>
      <w:lvlJc w:val="left"/>
      <w:pPr>
        <w:tabs>
          <w:tab w:val="num" w:pos="0"/>
        </w:tabs>
        <w:ind w:left="2018" w:hanging="1440"/>
      </w:pPr>
      <w:rPr/>
    </w:lvl>
    <w:lvl w:ilvl="8">
      <w:start w:val="1"/>
      <w:pStyle w:val="Nadpis9"/>
      <w:numFmt w:val="decimal"/>
      <w:lvlText w:val="%1.%2.%3.%4.%5.%6.%7.%8.%9"/>
      <w:lvlJc w:val="left"/>
      <w:pPr>
        <w:tabs>
          <w:tab w:val="num" w:pos="0"/>
        </w:tabs>
        <w:ind w:left="2162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3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4" w:hanging="576"/>
      </w:pPr>
      <w:rPr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2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586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30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74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18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2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4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2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586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30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74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18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2" w:hanging="1584"/>
      </w:pPr>
      <w:rPr/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Arial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120" w:after="120"/>
      <w:jc w:val="left"/>
    </w:pPr>
    <w:rPr>
      <w:rFonts w:cs="Times New Roman" w:ascii="Calibri" w:hAnsi="Calibri" w:eastAsia="Times New Roman"/>
      <w:color w:val="auto"/>
      <w:kern w:val="0"/>
      <w:sz w:val="22"/>
      <w:szCs w:val="20"/>
      <w:lang w:val="sk-SK" w:eastAsia="cs-CZ" w:bidi="ar-SA"/>
    </w:rPr>
  </w:style>
  <w:style w:type="paragraph" w:styleId="Nadpis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20"/>
        <w:tab w:val="left" w:pos="0" w:leader="none"/>
      </w:tabs>
      <w:spacing w:before="480" w:after="120"/>
      <w:ind w:left="431" w:hanging="431"/>
      <w:outlineLvl w:val="0"/>
    </w:pPr>
    <w:rPr>
      <w:rFonts w:ascii="Calibri Light" w:hAnsi="Calibri Light" w:cs="Arial"/>
      <w:bCs/>
      <w:color w:val="002060"/>
      <w:sz w:val="36"/>
      <w:szCs w:val="28"/>
      <w:lang w:val="en-GB"/>
    </w:rPr>
  </w:style>
  <w:style w:type="paragraph" w:styleId="Nadpis2">
    <w:name w:val="Heading 2"/>
    <w:basedOn w:val="Nadpis1"/>
    <w:next w:val="Normal"/>
    <w:autoRedefine/>
    <w:qFormat/>
    <w:pPr>
      <w:numPr>
        <w:ilvl w:val="1"/>
        <w:numId w:val="1"/>
      </w:numPr>
      <w:spacing w:before="0" w:after="0"/>
      <w:ind w:left="368" w:hanging="578"/>
      <w:outlineLvl w:val="1"/>
    </w:pPr>
    <w:rPr>
      <w:rFonts w:ascii="Calibri" w:hAnsi="Calibri" w:eastAsia="Yu Gothic Light" w:cs="Calibri"/>
      <w:bCs w:val="false"/>
      <w:sz w:val="28"/>
      <w:szCs w:val="32"/>
    </w:rPr>
  </w:style>
  <w:style w:type="paragraph" w:styleId="Nadpis3">
    <w:name w:val="Heading 3"/>
    <w:basedOn w:val="Nadpis21"/>
    <w:next w:val="Normal"/>
    <w:qFormat/>
    <w:pPr>
      <w:keepNext w:val="true"/>
      <w:numPr>
        <w:ilvl w:val="2"/>
        <w:numId w:val="1"/>
      </w:numPr>
      <w:spacing w:before="240" w:after="120"/>
      <w:ind w:left="720" w:hanging="0"/>
      <w:outlineLvl w:val="2"/>
    </w:pPr>
    <w:rPr>
      <w:rFonts w:cs="Calibri (Body)"/>
      <w:b/>
      <w:bCs/>
      <w:color w:val="0070C0"/>
      <w:lang w:val="sk-SK"/>
    </w:rPr>
  </w:style>
  <w:style w:type="paragraph" w:styleId="Nadpis4">
    <w:name w:val="Heading 4"/>
    <w:basedOn w:val="ListParagraph"/>
    <w:next w:val="Normal"/>
    <w:autoRedefine/>
    <w:qFormat/>
    <w:pPr>
      <w:numPr>
        <w:ilvl w:val="3"/>
        <w:numId w:val="1"/>
      </w:numPr>
      <w:spacing w:before="240" w:after="120"/>
      <w:contextualSpacing w:val="false"/>
      <w:outlineLvl w:val="3"/>
    </w:pPr>
    <w:rPr>
      <w:rFonts w:cs="Calibri"/>
      <w:i/>
      <w:color w:val="002060"/>
      <w:lang w:val="en-GB"/>
    </w:rPr>
  </w:style>
  <w:style w:type="paragraph" w:styleId="Nadpis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120"/>
      <w:outlineLvl w:val="4"/>
    </w:pPr>
    <w:rPr>
      <w:rFonts w:ascii="Calibri Light" w:hAnsi="Calibri Light" w:eastAsia="Yu Gothic Light"/>
      <w:color w:val="2F5496"/>
    </w:rPr>
  </w:style>
  <w:style w:type="paragraph" w:styleId="Nadpis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120"/>
      <w:outlineLvl w:val="5"/>
    </w:pPr>
    <w:rPr>
      <w:rFonts w:ascii="Calibri Light" w:hAnsi="Calibri Light" w:eastAsia="Yu Gothic Light"/>
      <w:color w:val="1F3763"/>
    </w:rPr>
  </w:style>
  <w:style w:type="paragraph" w:styleId="Nadpis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120"/>
      <w:outlineLvl w:val="6"/>
    </w:pPr>
    <w:rPr>
      <w:rFonts w:ascii="Calibri Light" w:hAnsi="Calibri Light" w:eastAsia="Yu Gothic Light"/>
      <w:i/>
      <w:iCs/>
      <w:color w:val="1F3763"/>
    </w:rPr>
  </w:style>
  <w:style w:type="paragraph" w:styleId="Nadpis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120"/>
      <w:outlineLvl w:val="7"/>
    </w:pPr>
    <w:rPr>
      <w:rFonts w:ascii="Calibri Light" w:hAnsi="Calibri Light" w:eastAsia="Yu Gothic Light"/>
      <w:color w:val="272727"/>
      <w:sz w:val="21"/>
      <w:szCs w:val="21"/>
    </w:rPr>
  </w:style>
  <w:style w:type="paragraph" w:styleId="Nadpis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120"/>
      <w:outlineLvl w:val="8"/>
    </w:pPr>
    <w:rPr>
      <w:rFonts w:ascii="Calibri Light" w:hAnsi="Calibri Light" w:eastAsia="Yu Gothic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2Char" w:customStyle="1">
    <w:name w:val="Nadpis 2 Char"/>
    <w:basedOn w:val="DefaultParagraphFont"/>
    <w:qFormat/>
    <w:rPr>
      <w:rFonts w:eastAsia="Yu Gothic Light" w:cs="Calibri"/>
      <w:color w:val="002060"/>
      <w:sz w:val="28"/>
      <w:szCs w:val="32"/>
      <w:lang w:eastAsia="cs-CZ"/>
    </w:rPr>
  </w:style>
  <w:style w:type="character" w:styleId="Nadpis3Char" w:customStyle="1">
    <w:name w:val="Nadpis 3 Char"/>
    <w:basedOn w:val="DefaultParagraphFont"/>
    <w:qFormat/>
    <w:rPr>
      <w:rFonts w:ascii="Calibri" w:hAnsi="Calibri" w:eastAsia="Yu Gothic Light" w:cs="Calibri (Body)"/>
      <w:b/>
      <w:bCs/>
      <w:color w:val="0070C0"/>
      <w:lang w:val="sk-SK" w:eastAsia="cs-CZ"/>
    </w:rPr>
  </w:style>
  <w:style w:type="character" w:styleId="Nadpis1Char" w:customStyle="1">
    <w:name w:val="Nadpis 1 Char"/>
    <w:qFormat/>
    <w:rPr>
      <w:rFonts w:ascii="Calibri Light" w:hAnsi="Calibri Light"/>
      <w:bCs/>
      <w:color w:val="002060"/>
      <w:sz w:val="36"/>
      <w:szCs w:val="28"/>
      <w:lang w:eastAsia="cs-CZ"/>
    </w:rPr>
  </w:style>
  <w:style w:type="character" w:styleId="Nadpis4Char" w:customStyle="1">
    <w:name w:val="Nadpis 4 Char"/>
    <w:basedOn w:val="DefaultParagraphFont"/>
    <w:qFormat/>
    <w:rPr>
      <w:rFonts w:cs="Calibri"/>
      <w:i/>
      <w:color w:val="002060"/>
      <w:sz w:val="22"/>
      <w:szCs w:val="20"/>
      <w:lang w:eastAsia="cs-CZ"/>
    </w:rPr>
  </w:style>
  <w:style w:type="character" w:styleId="Nadpis1Char1" w:customStyle="1">
    <w:name w:val="Nadpis1 Char"/>
    <w:basedOn w:val="Nadpis1Char"/>
    <w:qFormat/>
    <w:rPr>
      <w:rFonts w:ascii="Arial" w:hAnsi="Arial" w:eastAsia="Yu Gothic Light" w:cs="Calibri"/>
      <w:bCs w:val="false"/>
      <w:color w:val="CA2137"/>
      <w:sz w:val="36"/>
      <w:szCs w:val="20"/>
      <w:lang w:val="sk-SK" w:eastAsia="cs-CZ"/>
    </w:rPr>
  </w:style>
  <w:style w:type="character" w:styleId="Nadpis2Char1" w:customStyle="1">
    <w:name w:val="Nadpis2 Char"/>
    <w:basedOn w:val="Nadpis2Char"/>
    <w:qFormat/>
    <w:rPr>
      <w:rFonts w:eastAsia="Yu Gothic Light" w:cs="Calibri"/>
      <w:color w:val="002060"/>
      <w:sz w:val="28"/>
      <w:szCs w:val="32"/>
      <w:lang w:eastAsia="cs-CZ"/>
    </w:rPr>
  </w:style>
  <w:style w:type="character" w:styleId="Nadpis3Char1" w:customStyle="1">
    <w:name w:val="Nadpis3 Char"/>
    <w:basedOn w:val="Nadpis3Char"/>
    <w:qFormat/>
    <w:rPr>
      <w:rFonts w:ascii="Calibri Light" w:hAnsi="Calibri Light" w:eastAsia="Yu Gothic Light" w:cs="Calibri (Body)"/>
      <w:b/>
      <w:bCs w:val="false"/>
      <w:color w:val="2F5496"/>
      <w:lang w:val="sk-SK" w:eastAsia="cs-CZ"/>
    </w:rPr>
  </w:style>
  <w:style w:type="character" w:styleId="Nadpis5Char" w:customStyle="1">
    <w:name w:val="Nadpis 5 Char"/>
    <w:basedOn w:val="DefaultParagraphFont"/>
    <w:qFormat/>
    <w:rPr>
      <w:rFonts w:ascii="Calibri Light" w:hAnsi="Calibri Light" w:eastAsia="Yu Gothic Light" w:cs="Times New Roman"/>
      <w:color w:val="2F5496"/>
      <w:sz w:val="22"/>
      <w:szCs w:val="20"/>
      <w:lang w:val="sk-SK" w:eastAsia="cs-CZ"/>
    </w:rPr>
  </w:style>
  <w:style w:type="character" w:styleId="Nadpis6Char" w:customStyle="1">
    <w:name w:val="Nadpis 6 Char"/>
    <w:basedOn w:val="DefaultParagraphFont"/>
    <w:qFormat/>
    <w:rPr>
      <w:rFonts w:ascii="Calibri Light" w:hAnsi="Calibri Light" w:eastAsia="Yu Gothic Light" w:cs="Times New Roman"/>
      <w:color w:val="1F3763"/>
      <w:sz w:val="22"/>
      <w:szCs w:val="20"/>
      <w:lang w:val="sk-SK" w:eastAsia="cs-CZ"/>
    </w:rPr>
  </w:style>
  <w:style w:type="character" w:styleId="Nadpis7Char" w:customStyle="1">
    <w:name w:val="Nadpis 7 Char"/>
    <w:basedOn w:val="DefaultParagraphFont"/>
    <w:qFormat/>
    <w:rPr>
      <w:rFonts w:ascii="Calibri Light" w:hAnsi="Calibri Light" w:eastAsia="Yu Gothic Light" w:cs="Times New Roman"/>
      <w:i/>
      <w:iCs/>
      <w:color w:val="1F3763"/>
      <w:sz w:val="22"/>
      <w:szCs w:val="20"/>
      <w:lang w:val="sk-SK" w:eastAsia="cs-CZ"/>
    </w:rPr>
  </w:style>
  <w:style w:type="character" w:styleId="Nadpis8Char" w:customStyle="1">
    <w:name w:val="Nadpis 8 Char"/>
    <w:basedOn w:val="DefaultParagraphFont"/>
    <w:qFormat/>
    <w:rPr>
      <w:rFonts w:ascii="Calibri Light" w:hAnsi="Calibri Light" w:eastAsia="Yu Gothic Light" w:cs="Times New Roman"/>
      <w:color w:val="272727"/>
      <w:sz w:val="21"/>
      <w:szCs w:val="21"/>
      <w:lang w:val="sk-SK" w:eastAsia="cs-CZ"/>
    </w:rPr>
  </w:style>
  <w:style w:type="character" w:styleId="Nadpis9Char" w:customStyle="1">
    <w:name w:val="Nadpis 9 Char"/>
    <w:basedOn w:val="DefaultParagraphFont"/>
    <w:qFormat/>
    <w:rPr>
      <w:rFonts w:ascii="Calibri Light" w:hAnsi="Calibri Light" w:eastAsia="Yu Gothic Light" w:cs="Times New Roman"/>
      <w:i/>
      <w:iCs/>
      <w:color w:val="272727"/>
      <w:sz w:val="21"/>
      <w:szCs w:val="21"/>
      <w:lang w:val="sk-SK" w:eastAsia="cs-CZ"/>
    </w:rPr>
  </w:style>
  <w:style w:type="character" w:styleId="Internetovodkaz">
    <w:name w:val="Internetový odkaz"/>
    <w:basedOn w:val="DefaultParagraphFont"/>
    <w:uiPriority w:val="99"/>
    <w:unhideWhenUsed/>
    <w:rsid w:val="000464f6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komentraChar" w:customStyle="1">
    <w:name w:val="Text komentára Char"/>
    <w:basedOn w:val="DefaultParagraphFont"/>
    <w:qFormat/>
    <w:rPr>
      <w:rFonts w:ascii="Calibri" w:hAnsi="Calibri" w:cs="Times New Roman"/>
      <w:sz w:val="20"/>
      <w:szCs w:val="20"/>
      <w:lang w:val="sk-SK" w:eastAsia="cs-CZ"/>
    </w:rPr>
  </w:style>
  <w:style w:type="character" w:styleId="PredmetkomentraChar" w:customStyle="1">
    <w:name w:val="Predmet komentára Char"/>
    <w:basedOn w:val="TextkomentraChar"/>
    <w:qFormat/>
    <w:rPr>
      <w:rFonts w:ascii="Calibri" w:hAnsi="Calibri" w:cs="Times New Roman"/>
      <w:b/>
      <w:bCs/>
      <w:sz w:val="20"/>
      <w:szCs w:val="20"/>
      <w:lang w:val="sk-SK" w:eastAsia="cs-CZ"/>
    </w:rPr>
  </w:style>
  <w:style w:type="character" w:styleId="TextbublinyChar" w:customStyle="1">
    <w:name w:val="Text bubliny Char"/>
    <w:basedOn w:val="DefaultParagraphFont"/>
    <w:qFormat/>
    <w:rPr>
      <w:rFonts w:ascii="Segoe UI" w:hAnsi="Segoe UI" w:cs="Segoe UI"/>
      <w:sz w:val="18"/>
      <w:szCs w:val="18"/>
      <w:lang w:val="sk-SK" w:eastAsia="cs-CZ"/>
    </w:rPr>
  </w:style>
  <w:style w:type="character" w:styleId="UnresolvedMention1" w:customStyle="1">
    <w:name w:val="Unresolved Mention1"/>
    <w:basedOn w:val="DefaultParagraphFont"/>
    <w:qFormat/>
    <w:rPr>
      <w:color w:val="605E5C"/>
      <w:shd w:fill="E1DFDD" w:val="clear"/>
    </w:rPr>
  </w:style>
  <w:style w:type="character" w:styleId="OdsekzoznamuChar" w:customStyle="1">
    <w:name w:val="Odsek zoznamu Char"/>
    <w:qFormat/>
    <w:rPr>
      <w:rFonts w:ascii="Calibri" w:hAnsi="Calibri" w:cs="Times New Roman"/>
      <w:sz w:val="22"/>
      <w:szCs w:val="20"/>
      <w:lang w:val="sk-SK" w:eastAsia="cs-CZ"/>
    </w:rPr>
  </w:style>
  <w:style w:type="character" w:styleId="HlavikaChar" w:customStyle="1">
    <w:name w:val="Hlavička Char"/>
    <w:basedOn w:val="DefaultParagraphFont"/>
    <w:qFormat/>
    <w:rPr>
      <w:rFonts w:ascii="Calibri" w:hAnsi="Calibri" w:cs="Times New Roman"/>
      <w:sz w:val="22"/>
      <w:szCs w:val="20"/>
      <w:lang w:val="sk-SK" w:eastAsia="cs-CZ"/>
    </w:rPr>
  </w:style>
  <w:style w:type="character" w:styleId="PtaChar" w:customStyle="1">
    <w:name w:val="Päta Char"/>
    <w:basedOn w:val="DefaultParagraphFont"/>
    <w:qFormat/>
    <w:rPr>
      <w:rFonts w:ascii="Calibri" w:hAnsi="Calibri" w:cs="Times New Roman"/>
      <w:sz w:val="22"/>
      <w:szCs w:val="20"/>
      <w:lang w:val="sk-SK" w:eastAsia="cs-CZ"/>
    </w:rPr>
  </w:style>
  <w:style w:type="character" w:styleId="Strong">
    <w:name w:val="Strong"/>
    <w:basedOn w:val="DefaultParagraphFont"/>
    <w:qFormat/>
    <w:rPr>
      <w:b/>
      <w:bCs/>
    </w:rPr>
  </w:style>
  <w:style w:type="character" w:styleId="PopisChar" w:customStyle="1">
    <w:name w:val="Popis Char"/>
    <w:basedOn w:val="DefaultParagraphFont"/>
    <w:qFormat/>
    <w:rPr>
      <w:rFonts w:ascii="Times New Roman" w:hAnsi="Times New Roman" w:cs="Times New Roman"/>
      <w:b/>
      <w:bCs/>
      <w:sz w:val="18"/>
      <w:szCs w:val="18"/>
      <w:lang w:eastAsia="sk-SK"/>
    </w:rPr>
  </w:style>
  <w:style w:type="character" w:styleId="MLOdsekChar" w:customStyle="1">
    <w:name w:val="ML Odsek Char"/>
    <w:basedOn w:val="DefaultParagraphFont"/>
    <w:qFormat/>
    <w:rPr>
      <w:rFonts w:ascii="Calibri" w:hAnsi="Calibri" w:cs="Times New Roman"/>
      <w:b/>
      <w:sz w:val="22"/>
      <w:szCs w:val="20"/>
      <w:lang w:val="sk-SK" w:eastAsia="cs-CZ"/>
    </w:rPr>
  </w:style>
  <w:style w:type="character" w:styleId="Nevyrieenzmienka1" w:customStyle="1">
    <w:name w:val="Nevyriešená zmienka1"/>
    <w:basedOn w:val="DefaultParagraphFont"/>
    <w:qFormat/>
    <w:rPr>
      <w:color w:val="605E5C"/>
      <w:shd w:fill="E1DFDD" w:val="clear"/>
    </w:rPr>
  </w:style>
  <w:style w:type="character" w:styleId="Navtveninternetovodkaz" w:customStyle="1">
    <w:name w:val="Navštívený internetový odkaz"/>
    <w:basedOn w:val="DefaultParagraphFont"/>
    <w:rPr>
      <w:color w:val="954F72"/>
      <w:u w:val="single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UnresolvedMention2" w:customStyle="1">
    <w:name w:val="Unresolved Mention2"/>
    <w:basedOn w:val="DefaultParagraphFont"/>
    <w:qFormat/>
    <w:rPr>
      <w:color w:val="605E5C"/>
      <w:shd w:fill="E1DFDD" w:val="clear"/>
    </w:rPr>
  </w:style>
  <w:style w:type="character" w:styleId="UnresolvedMention3" w:customStyle="1">
    <w:name w:val="Unresolved Mention3"/>
    <w:basedOn w:val="DefaultParagraphFont"/>
    <w:qFormat/>
    <w:rPr>
      <w:color w:val="605E5C"/>
      <w:shd w:fill="E1DFDD" w:val="clear"/>
    </w:rPr>
  </w:style>
  <w:style w:type="character" w:styleId="BulletChar" w:customStyle="1">
    <w:name w:val="Bullet Char"/>
    <w:basedOn w:val="DefaultParagraphFont"/>
    <w:qFormat/>
    <w:rPr>
      <w:rFonts w:ascii="Verdana" w:hAnsi="Verdana" w:cs="Times New Roman"/>
      <w:sz w:val="22"/>
      <w:szCs w:val="20"/>
      <w:lang w:val="sk-SK"/>
    </w:rPr>
  </w:style>
  <w:style w:type="character" w:styleId="LineNumbering" w:customStyle="1">
    <w:name w:val="Line Numbering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Odkaznaregister" w:customStyle="1">
    <w:name w:val="Odkaz na register"/>
    <w:qFormat/>
    <w:rPr/>
  </w:style>
  <w:style w:type="character" w:styleId="Nevyrieenzmienka2" w:customStyle="1">
    <w:name w:val="Nevyriešená zmienka2"/>
    <w:basedOn w:val="DefaultParagraphFont"/>
    <w:uiPriority w:val="99"/>
    <w:semiHidden/>
    <w:unhideWhenUsed/>
    <w:qFormat/>
    <w:rsid w:val="00cd2f30"/>
    <w:rPr>
      <w:color w:val="605E5C"/>
      <w:shd w:fill="E1DFDD" w:val="clear"/>
    </w:rPr>
  </w:style>
  <w:style w:type="character" w:styleId="Symbolypreslovanie" w:customStyle="1">
    <w:name w:val="Symboly pre číslovanie"/>
    <w:qFormat/>
    <w:rPr/>
  </w:style>
  <w:style w:type="character" w:styleId="Odrky" w:customStyle="1">
    <w:name w:val="Odrážky"/>
    <w:qFormat/>
    <w:rPr>
      <w:rFonts w:ascii="OpenSymbol" w:hAnsi="OpenSymbol" w:eastAsia="OpenSymbol" w:cs="OpenSymbol"/>
    </w:rPr>
  </w:style>
  <w:style w:type="character" w:styleId="Zmienka1" w:customStyle="1">
    <w:name w:val="Zmienka1"/>
    <w:basedOn w:val="DefaultParagraphFont"/>
    <w:uiPriority w:val="99"/>
    <w:unhideWhenUsed/>
    <w:qFormat/>
    <w:rPr>
      <w:color w:val="2B579A"/>
      <w:shd w:fill="E6E6E6" w:val="clear"/>
    </w:rPr>
  </w:style>
  <w:style w:type="paragraph" w:styleId="Nadpis" w:customStyle="1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Free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qFormat/>
    <w:pPr>
      <w:spacing w:before="0" w:after="200"/>
      <w:jc w:val="center"/>
    </w:pPr>
    <w:rPr>
      <w:rFonts w:ascii="Times New Roman" w:hAnsi="Times New Roman"/>
      <w:b/>
      <w:bCs/>
      <w:sz w:val="18"/>
      <w:szCs w:val="18"/>
      <w:lang w:val="en-GB" w:eastAsia="sk-SK"/>
    </w:rPr>
  </w:style>
  <w:style w:type="paragraph" w:styleId="Nadpis11" w:customStyle="1">
    <w:name w:val="Nadpis1"/>
    <w:basedOn w:val="Nadpis1"/>
    <w:next w:val="Normal"/>
    <w:autoRedefine/>
    <w:qFormat/>
    <w:pPr>
      <w:numPr>
        <w:ilvl w:val="0"/>
        <w:numId w:val="0"/>
      </w:numPr>
      <w:spacing w:before="360" w:after="120"/>
      <w:ind w:left="431" w:hanging="431"/>
    </w:pPr>
    <w:rPr>
      <w:rFonts w:ascii="Arial" w:hAnsi="Arial" w:eastAsia="Yu Gothic Light" w:cs="Calibri"/>
      <w:bCs w:val="false"/>
      <w:color w:val="CA2137"/>
      <w:szCs w:val="20"/>
      <w:lang w:val="sk-SK"/>
    </w:rPr>
  </w:style>
  <w:style w:type="paragraph" w:styleId="Nadpis21" w:customStyle="1">
    <w:name w:val="Nadpis2"/>
    <w:basedOn w:val="Nadpis2"/>
    <w:next w:val="Normal"/>
    <w:autoRedefine/>
    <w:qFormat/>
    <w:pPr>
      <w:keepNext w:val="false"/>
      <w:keepLines w:val="false"/>
      <w:numPr>
        <w:ilvl w:val="0"/>
        <w:numId w:val="0"/>
      </w:numPr>
      <w:spacing w:before="120" w:after="120"/>
      <w:ind w:left="576" w:hanging="576"/>
      <w:jc w:val="both"/>
    </w:pPr>
    <w:rPr>
      <w:sz w:val="24"/>
      <w:szCs w:val="24"/>
    </w:rPr>
  </w:style>
  <w:style w:type="paragraph" w:styleId="Nadpis31" w:customStyle="1">
    <w:name w:val="Nadpis3"/>
    <w:basedOn w:val="Nadpis3"/>
    <w:next w:val="Normal"/>
    <w:qFormat/>
    <w:pPr>
      <w:numPr>
        <w:ilvl w:val="0"/>
        <w:numId w:val="0"/>
      </w:numPr>
      <w:ind w:left="720" w:hanging="0"/>
    </w:pPr>
    <w:rPr>
      <w:rFonts w:ascii="Calibri Light" w:hAnsi="Calibri Light"/>
      <w:bCs w:val="false"/>
      <w:color w:val="2F5496"/>
    </w:rPr>
  </w:style>
  <w:style w:type="paragraph" w:styleId="ListParagraph">
    <w:name w:val="List Paragraph"/>
    <w:basedOn w:val="Normal"/>
    <w:qFormat/>
    <w:pPr>
      <w:spacing w:before="120" w:after="120"/>
      <w:ind w:left="720" w:hanging="0"/>
      <w:contextualSpacing/>
    </w:pPr>
    <w:rPr/>
  </w:style>
  <w:style w:type="paragraph" w:styleId="Numbered2" w:customStyle="1">
    <w:name w:val="Numbered 2"/>
    <w:basedOn w:val="Normal"/>
    <w:next w:val="Normal"/>
    <w:autoRedefine/>
    <w:qFormat/>
    <w:pPr>
      <w:spacing w:lineRule="auto" w:line="264" w:before="80" w:after="80"/>
      <w:jc w:val="both"/>
    </w:pPr>
    <w:rPr>
      <w:color w:val="000000"/>
      <w:szCs w:val="22"/>
      <w:lang w:eastAsia="sk-SK"/>
    </w:rPr>
  </w:style>
  <w:style w:type="paragraph" w:styleId="Numbered" w:customStyle="1">
    <w:name w:val="Numbered"/>
    <w:basedOn w:val="Normal"/>
    <w:next w:val="Normal"/>
    <w:autoRedefine/>
    <w:qFormat/>
    <w:pPr>
      <w:tabs>
        <w:tab w:val="clear" w:pos="720"/>
        <w:tab w:val="left" w:pos="357" w:leader="none"/>
      </w:tabs>
      <w:spacing w:lineRule="auto" w:line="264"/>
      <w:ind w:left="357" w:hanging="357"/>
      <w:jc w:val="both"/>
    </w:pPr>
    <w:rPr>
      <w:b/>
      <w:color w:val="FFC000"/>
      <w:sz w:val="28"/>
      <w:szCs w:val="22"/>
      <w:lang w:eastAsia="sk-SK"/>
    </w:rPr>
  </w:style>
  <w:style w:type="paragraph" w:styleId="Annotationtext">
    <w:name w:val="annotation text"/>
    <w:basedOn w:val="Normal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Header" w:customStyle="1">
    <w:name w:val="Table Header"/>
    <w:basedOn w:val="Normal"/>
    <w:qFormat/>
    <w:pPr>
      <w:keepNext w:val="true"/>
      <w:spacing w:lineRule="auto" w:line="360"/>
      <w:ind w:left="708" w:hanging="0"/>
      <w:jc w:val="center"/>
    </w:pPr>
    <w:rPr>
      <w:rFonts w:ascii="Arial" w:hAnsi="Arial" w:cs="Arial"/>
      <w:b/>
      <w:sz w:val="20"/>
      <w:lang w:eastAsia="en-US"/>
    </w:rPr>
  </w:style>
  <w:style w:type="paragraph" w:styleId="TlArial10ptVavo" w:customStyle="1">
    <w:name w:val="Štýl Arial 10 pt Vľavo"/>
    <w:basedOn w:val="Normal"/>
    <w:autoRedefine/>
    <w:qFormat/>
    <w:pPr>
      <w:spacing w:before="0" w:after="0"/>
    </w:pPr>
    <w:rPr>
      <w:rFonts w:ascii="Arial" w:hAnsi="Arial" w:cs="Arial"/>
      <w:b/>
      <w:sz w:val="20"/>
      <w:lang w:eastAsia="sk-SK"/>
    </w:rPr>
  </w:style>
  <w:style w:type="paragraph" w:styleId="TableData" w:customStyle="1">
    <w:name w:val="Table Data"/>
    <w:basedOn w:val="Normal"/>
    <w:qFormat/>
    <w:pPr>
      <w:spacing w:lineRule="auto" w:line="360" w:before="40" w:after="40"/>
      <w:ind w:left="708" w:hanging="0"/>
    </w:pPr>
    <w:rPr>
      <w:rFonts w:ascii="Arial" w:hAnsi="Arial" w:cs="Arial"/>
      <w:sz w:val="20"/>
      <w:lang w:eastAsia="en-US"/>
    </w:rPr>
  </w:style>
  <w:style w:type="paragraph" w:styleId="Hlavikaapta" w:customStyle="1">
    <w:name w:val="Hlavička a päta"/>
    <w:basedOn w:val="Normal"/>
    <w:qFormat/>
    <w:pPr/>
    <w:rPr/>
  </w:style>
  <w:style w:type="paragraph" w:styleId="Zhlavie">
    <w:name w:val="Header"/>
    <w:basedOn w:val="Normal"/>
    <w:pPr>
      <w:tabs>
        <w:tab w:val="clear" w:pos="720"/>
        <w:tab w:val="center" w:pos="4703" w:leader="none"/>
        <w:tab w:val="right" w:pos="9406" w:leader="none"/>
      </w:tabs>
      <w:spacing w:before="0" w:after="0"/>
    </w:pPr>
    <w:rPr/>
  </w:style>
  <w:style w:type="paragraph" w:styleId="Pta">
    <w:name w:val="Footer"/>
    <w:basedOn w:val="Normal"/>
    <w:pPr>
      <w:tabs>
        <w:tab w:val="clear" w:pos="720"/>
        <w:tab w:val="center" w:pos="4703" w:leader="none"/>
        <w:tab w:val="right" w:pos="9406" w:leader="none"/>
      </w:tabs>
      <w:spacing w:before="0" w:after="0"/>
    </w:pPr>
    <w:rPr/>
  </w:style>
  <w:style w:type="paragraph" w:styleId="MLNadpislnku" w:customStyle="1">
    <w:name w:val="ML Nadpis článku"/>
    <w:basedOn w:val="Normal"/>
    <w:qFormat/>
    <w:pPr>
      <w:keepNext w:val="true"/>
      <w:spacing w:lineRule="exact" w:line="280" w:before="480" w:after="120"/>
      <w:outlineLvl w:val="0"/>
    </w:pPr>
    <w:rPr>
      <w:rFonts w:eastAsia="Calibri" w:cs="Calibri"/>
      <w:b/>
      <w:szCs w:val="22"/>
      <w:lang w:eastAsia="en-US"/>
    </w:rPr>
  </w:style>
  <w:style w:type="paragraph" w:styleId="MLOdsek" w:customStyle="1">
    <w:name w:val="ML Odsek"/>
    <w:basedOn w:val="Normal"/>
    <w:qFormat/>
    <w:pPr/>
    <w:rPr>
      <w:b/>
    </w:rPr>
  </w:style>
  <w:style w:type="paragraph" w:styleId="TableSmHeadingRight" w:customStyle="1">
    <w:name w:val="Table_Sm_Heading_Right"/>
    <w:basedOn w:val="Normal"/>
    <w:qFormat/>
    <w:pPr>
      <w:keepNext w:val="true"/>
      <w:keepLines/>
      <w:spacing w:lineRule="auto" w:line="276" w:before="60" w:after="40"/>
      <w:jc w:val="right"/>
    </w:pPr>
    <w:rPr>
      <w:rFonts w:ascii="Futura Bk" w:hAnsi="Futura Bk"/>
      <w:b/>
      <w:sz w:val="16"/>
      <w:lang w:val="en-GB" w:eastAsia="sk-SK"/>
    </w:rPr>
  </w:style>
  <w:style w:type="paragraph" w:styleId="TableMedium" w:customStyle="1">
    <w:name w:val="Table_Medium"/>
    <w:basedOn w:val="Normal"/>
    <w:qFormat/>
    <w:pPr>
      <w:spacing w:lineRule="auto" w:line="276" w:before="40" w:after="40"/>
    </w:pPr>
    <w:rPr>
      <w:rFonts w:ascii="Futura Bk" w:hAnsi="Futura Bk"/>
      <w:sz w:val="18"/>
      <w:lang w:val="en-GB" w:eastAsia="sk-SK"/>
    </w:rPr>
  </w:style>
  <w:style w:type="paragraph" w:styleId="HPInternal" w:customStyle="1">
    <w:name w:val="HP_Internal"/>
    <w:basedOn w:val="Normal"/>
    <w:next w:val="Normal"/>
    <w:qFormat/>
    <w:pPr>
      <w:spacing w:lineRule="auto" w:line="276" w:before="0" w:after="200"/>
    </w:pPr>
    <w:rPr>
      <w:i/>
      <w:sz w:val="18"/>
      <w:szCs w:val="22"/>
      <w:lang w:eastAsia="sk-SK"/>
    </w:rPr>
  </w:style>
  <w:style w:type="paragraph" w:styleId="TableSmHeading" w:customStyle="1">
    <w:name w:val="Table_Sm_Heading"/>
    <w:basedOn w:val="Normal"/>
    <w:qFormat/>
    <w:pPr>
      <w:keepNext w:val="true"/>
      <w:keepLines/>
      <w:spacing w:lineRule="auto" w:line="276" w:before="60" w:after="40"/>
    </w:pPr>
    <w:rPr>
      <w:b/>
      <w:sz w:val="16"/>
      <w:szCs w:val="22"/>
      <w:lang w:eastAsia="sk-SK"/>
    </w:rPr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</w:pPr>
    <w:rPr>
      <w:rFonts w:cs="Times New Roman" w:ascii="Calibri" w:hAnsi="Calibri" w:eastAsia="Times New Roman"/>
      <w:color w:val="auto"/>
      <w:kern w:val="0"/>
      <w:sz w:val="22"/>
      <w:szCs w:val="20"/>
      <w:lang w:val="sk-SK" w:eastAsia="cs-CZ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/>
      <w:sz w:val="24"/>
      <w:szCs w:val="24"/>
      <w:lang w:eastAsia="sk-SK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cs="Calibri" w:ascii="Calibri" w:hAnsi="Calibri" w:eastAsia="Times New Roman"/>
      <w:color w:val="000000"/>
      <w:kern w:val="0"/>
      <w:sz w:val="22"/>
      <w:szCs w:val="24"/>
      <w:lang w:val="sk-SK" w:eastAsia="sk-SK" w:bidi="ar-SA"/>
    </w:rPr>
  </w:style>
  <w:style w:type="paragraph" w:styleId="Bullet" w:customStyle="1">
    <w:name w:val="Bullet"/>
    <w:basedOn w:val="Normal"/>
    <w:qFormat/>
    <w:pPr>
      <w:spacing w:before="60" w:after="120"/>
      <w:ind w:left="720" w:hanging="360"/>
      <w:jc w:val="both"/>
    </w:pPr>
    <w:rPr>
      <w:rFonts w:ascii="Verdana" w:hAnsi="Verdana"/>
      <w:lang w:eastAsia="en-US"/>
    </w:rPr>
  </w:style>
  <w:style w:type="paragraph" w:styleId="Obsahtabuky" w:customStyle="1">
    <w:name w:val="Obsah tabuľky"/>
    <w:basedOn w:val="Normal"/>
    <w:qFormat/>
    <w:pPr>
      <w:widowControl w:val="false"/>
      <w:suppressLineNumbers/>
    </w:pPr>
    <w:rPr/>
  </w:style>
  <w:style w:type="paragraph" w:styleId="Zhlavietabuky" w:customStyle="1">
    <w:name w:val="Záhlavie tabuľky"/>
    <w:basedOn w:val="Obsahtabuky"/>
    <w:qFormat/>
    <w:pPr>
      <w:jc w:val="center"/>
    </w:pPr>
    <w:rPr>
      <w:b/>
      <w:bCs/>
    </w:rPr>
  </w:style>
  <w:style w:type="paragraph" w:styleId="Indexheading">
    <w:name w:val="index heading"/>
    <w:basedOn w:val="Nadpis"/>
    <w:qFormat/>
    <w:pPr>
      <w:suppressLineNumbers/>
    </w:pPr>
    <w:rPr>
      <w:b/>
      <w:bCs/>
      <w:sz w:val="32"/>
      <w:szCs w:val="32"/>
    </w:rPr>
  </w:style>
  <w:style w:type="paragraph" w:styleId="Nadpisregistra">
    <w:name w:val="Index Heading"/>
    <w:basedOn w:val="Nadpis"/>
    <w:pPr/>
    <w:rPr/>
  </w:style>
  <w:style w:type="paragraph" w:styleId="Nadpisobsahu">
    <w:name w:val="TOC Heading"/>
    <w:basedOn w:val="Indexheading"/>
    <w:uiPriority w:val="39"/>
    <w:qFormat/>
    <w:pPr/>
    <w:rPr/>
  </w:style>
  <w:style w:type="paragraph" w:styleId="Obsah1">
    <w:name w:val="TOC 1"/>
    <w:basedOn w:val="Index"/>
    <w:uiPriority w:val="39"/>
    <w:pPr>
      <w:tabs>
        <w:tab w:val="clear" w:pos="720"/>
        <w:tab w:val="right" w:pos="9072" w:leader="dot"/>
      </w:tabs>
    </w:pPr>
    <w:rPr/>
  </w:style>
  <w:style w:type="paragraph" w:styleId="Obsah2">
    <w:name w:val="TOC 2"/>
    <w:basedOn w:val="Index"/>
    <w:uiPriority w:val="39"/>
    <w:pPr>
      <w:tabs>
        <w:tab w:val="clear" w:pos="720"/>
        <w:tab w:val="right" w:pos="8789" w:leader="dot"/>
      </w:tabs>
      <w:ind w:left="283" w:hanging="0"/>
    </w:pPr>
    <w:rPr/>
  </w:style>
  <w:style w:type="paragraph" w:styleId="Obsah3">
    <w:name w:val="TOC 3"/>
    <w:basedOn w:val="Index"/>
    <w:uiPriority w:val="39"/>
    <w:pPr>
      <w:tabs>
        <w:tab w:val="clear" w:pos="720"/>
        <w:tab w:val="right" w:pos="8505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lovanie123" w:customStyle="1">
    <w:name w:val="Číslovanie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lov-lex.sk/pravne-predpisy/SK/ZZ/2020/78/20200501" TargetMode="External"/><Relationship Id="rId4" Type="http://schemas.openxmlformats.org/officeDocument/2006/relationships/hyperlink" Target="https://www.crz.gov.sk/data/att/4376772_dokument1.pdf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linkedpipes.com/" TargetMode="External"/><Relationship Id="rId11" Type="http://schemas.openxmlformats.org/officeDocument/2006/relationships/hyperlink" Target="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0e62e-6636-45fa-80b8-747eee6b9caf}"/>
      </w:docPartPr>
      <w:docPartBody>
        <w:p w14:paraId="3C7D73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1C5DE828D0C54BBC2152FF33446E9B" ma:contentTypeVersion="21" ma:contentTypeDescription="Umožňuje vytvoriť nový dokument." ma:contentTypeScope="" ma:versionID="3eeea00a5011af2ccabfe53378acf079">
  <xsd:schema xmlns:xsd="http://www.w3.org/2001/XMLSchema" xmlns:xs="http://www.w3.org/2001/XMLSchema" xmlns:p="http://schemas.microsoft.com/office/2006/metadata/properties" xmlns:ns2="3cd966dc-1e62-4749-8976-f4b18f499ff8" xmlns:ns3="45a0424a-b6ff-4064-ab3b-f5cc1d862c5f" xmlns:ns4="http://schemas.microsoft.com/sharepoint/v3/fields" targetNamespace="http://schemas.microsoft.com/office/2006/metadata/properties" ma:root="true" ma:fieldsID="6345d34dd241353db6cd78bc6f45f64f" ns2:_="" ns3:_="" ns4:_="">
    <xsd:import namespace="3cd966dc-1e62-4749-8976-f4b18f499ff8"/>
    <xsd:import namespace="45a0424a-b6ff-4064-ab3b-f5cc1d862c5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4:_Versio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966dc-1e62-4749-8976-f4b18f499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Značky obrázka" ma:readOnly="false" ma:fieldId="{5cf76f15-5ced-4ddc-b409-7134ff3c332f}" ma:taxonomyMulti="true" ma:sspId="823deb3c-b9f3-4fad-b534-fe0741e71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Stav odhlásenia" ma:internalName="Stav_x0020_odhl_x00e1_senia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0424a-b6ff-4064-ab3b-f5cc1d862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b093d69-c3d8-4bf5-8b32-7b45c5182836}" ma:internalName="TaxCatchAll" ma:showField="CatchAllData" ma:web="45a0424a-b6ff-4064-ab3b-f5cc1d862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0" nillable="true" ma:displayName="Verzia" ma:internalName="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TaxCatchAll xmlns="45a0424a-b6ff-4064-ab3b-f5cc1d862c5f" xsi:nil="true"/>
    <lcf76f155ced4ddcb4097134ff3c332f xmlns="3cd966dc-1e62-4749-8976-f4b18f499ff8">
      <Terms xmlns="http://schemas.microsoft.com/office/infopath/2007/PartnerControls"/>
    </lcf76f155ced4ddcb4097134ff3c332f>
    <_Flow_SignoffStatus xmlns="3cd966dc-1e62-4749-8976-f4b18f499ff8" xsi:nil="true"/>
  </documentManagement>
</p:properties>
</file>

<file path=customXml/itemProps1.xml><?xml version="1.0" encoding="utf-8"?>
<ds:datastoreItem xmlns:ds="http://schemas.openxmlformats.org/officeDocument/2006/customXml" ds:itemID="{E6142F1D-A284-47F1-8584-53FBD020BA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0FB17C-E7B7-4481-B5D1-477251E325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449D34-81E3-4AFC-8579-C8CE23A6A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966dc-1e62-4749-8976-f4b18f499ff8"/>
    <ds:schemaRef ds:uri="45a0424a-b6ff-4064-ab3b-f5cc1d862c5f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89B7CB-8666-4D15-812B-EB98081A5B9A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5a0424a-b6ff-4064-ab3b-f5cc1d862c5f"/>
    <ds:schemaRef ds:uri="3cd966dc-1e62-4749-8976-f4b18f499f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LibreOffice/7.3.7.2$Linux_X86_64 LibreOffice_project/30$Build-2</Application>
  <AppVersion>15.0000</AppVersion>
  <DocSecurity>0</DocSecurity>
  <Pages>13</Pages>
  <Words>1305</Words>
  <Characters>9128</Characters>
  <CharactersWithSpaces>10247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2023-01-17T09:49:00Z</dcterms:created>
  <dc:creator>Matus Maxim</dc:creator>
  <dc:description/>
  <dc:language>en-US</dc:language>
  <cp:lastModifiedBy>Miroslav Líška</cp:lastModifiedBy>
  <cp:lastPrinted>2022-11-21T13:01:00Z</cp:lastPrinted>
  <dcterms:modified xsi:type="dcterms:W3CDTF">2023-02-20T12:53:42Z</dcterms:modified>
  <cp:revision>319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0x010100171C5DE828D0C54BBC2152FF33446E9B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