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B02FE0">
      <w:pPr>
        <w:pStyle w:val="2"/>
        <w:bidi w:val="0"/>
        <w:rPr>
          <w:rFonts w:hint="default" w:ascii="Times New Roman" w:hAnsi="Times New Roman" w:cs="Times New Roman"/>
          <w:sz w:val="24"/>
          <w:szCs w:val="24"/>
        </w:rPr>
      </w:pPr>
      <w:r>
        <w:rPr>
          <w:rFonts w:hint="default" w:ascii="Times New Roman" w:hAnsi="Times New Roman" w:cs="Times New Roman"/>
          <w:sz w:val="24"/>
          <w:szCs w:val="24"/>
        </w:rPr>
        <w:t>Phần 1 – Đề xuất 2 chiến lược phân rã</w:t>
      </w:r>
    </w:p>
    <w:p w14:paraId="29C3C3EF">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Chiến lược A: Phân rã theo nghiệp vụ và điều kiện hủy chuyến</w:t>
      </w:r>
    </w:p>
    <w:p w14:paraId="61463500">
      <w:pPr>
        <w:pStyle w:val="6"/>
        <w:keepNext w:val="0"/>
        <w:keepLines w:val="0"/>
        <w:widowControl/>
        <w:suppressLineNumbers w:val="0"/>
        <w:bidi w:val="0"/>
        <w:spacing w:before="24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F1: Cho phép hủy chuyến miễn phí khi tài xế chưa xác nhận nhận chuyến.</w:t>
      </w:r>
    </w:p>
    <w:p w14:paraId="4CDB70B2">
      <w:pPr>
        <w:pStyle w:val="6"/>
        <w:keepNext w:val="0"/>
        <w:keepLines w:val="0"/>
        <w:widowControl/>
        <w:suppressLineNumbers w:val="0"/>
        <w:bidi w:val="0"/>
        <w:spacing w:before="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F2: Thu phí hủy 10.000đ nếu tài xế đã nhận chuyến.</w:t>
      </w:r>
    </w:p>
    <w:p w14:paraId="12A11336">
      <w:pPr>
        <w:pStyle w:val="6"/>
        <w:keepNext w:val="0"/>
        <w:keepLines w:val="0"/>
        <w:widowControl/>
        <w:suppressLineNumbers w:val="0"/>
        <w:bidi w:val="0"/>
        <w:spacing w:before="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F3: Cập nhật lại giá cước của khách còn lại và gửi thông báo.</w:t>
      </w:r>
    </w:p>
    <w:p w14:paraId="65426F89">
      <w:pPr>
        <w:pStyle w:val="6"/>
        <w:keepNext w:val="0"/>
        <w:keepLines w:val="0"/>
        <w:widowControl/>
        <w:suppressLineNumbers w:val="0"/>
        <w:bidi w:val="0"/>
        <w:spacing w:before="0" w:beforeAutospacing="0" w:after="24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F4: Xử lý trường hợp khách hủy đúng thời điểm tài xế nhận chuyến dựa trên thời gian ghi nhận của máy chủ.</w:t>
      </w:r>
    </w:p>
    <w:p w14:paraId="1C8E2A5C">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 xml:space="preserve">Chiến lược B: Phân rã theo chức năng kỹ thuật </w:t>
      </w:r>
      <w:bookmarkStart w:id="0" w:name="_GoBack"/>
      <w:bookmarkEnd w:id="0"/>
    </w:p>
    <w:p w14:paraId="4DF91B58">
      <w:pPr>
        <w:pStyle w:val="6"/>
        <w:keepNext w:val="0"/>
        <w:keepLines w:val="0"/>
        <w:widowControl/>
        <w:suppressLineNumbers w:val="0"/>
        <w:bidi w:val="0"/>
        <w:spacing w:before="24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F1: Xây dựng giao diện hủy chuyến và xác nhận thao tác.</w:t>
      </w:r>
    </w:p>
    <w:p w14:paraId="2F70DAD4">
      <w:pPr>
        <w:pStyle w:val="6"/>
        <w:keepNext w:val="0"/>
        <w:keepLines w:val="0"/>
        <w:widowControl/>
        <w:suppressLineNumbers w:val="0"/>
        <w:bidi w:val="0"/>
        <w:spacing w:before="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F2: Xây dựng API xử lý yêu cầu hủy và cập nhật trạng thái chuyến.</w:t>
      </w:r>
    </w:p>
    <w:p w14:paraId="4D90DBC4">
      <w:pPr>
        <w:pStyle w:val="6"/>
        <w:keepNext w:val="0"/>
        <w:keepLines w:val="0"/>
        <w:widowControl/>
        <w:suppressLineNumbers w:val="0"/>
        <w:bidi w:val="0"/>
        <w:spacing w:before="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F3: Phát triển chức năng tính phí hủy chuyến.</w:t>
      </w:r>
    </w:p>
    <w:p w14:paraId="490132D5">
      <w:pPr>
        <w:pStyle w:val="6"/>
        <w:keepNext w:val="0"/>
        <w:keepLines w:val="0"/>
        <w:widowControl/>
        <w:suppressLineNumbers w:val="0"/>
        <w:bidi w:val="0"/>
        <w:spacing w:before="0" w:beforeAutospacing="0" w:after="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F4: Xây dựng chức năng tính toán lại giá cước chuyến ghép.</w:t>
      </w:r>
    </w:p>
    <w:p w14:paraId="392CD913">
      <w:pPr>
        <w:pStyle w:val="6"/>
        <w:keepNext w:val="0"/>
        <w:keepLines w:val="0"/>
        <w:widowControl/>
        <w:suppressLineNumbers w:val="0"/>
        <w:bidi w:val="0"/>
        <w:spacing w:before="0" w:beforeAutospacing="0" w:after="240" w:afterAutospacing="0" w:line="17" w:lineRule="atLeast"/>
        <w:ind w:left="72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F5: Phát triển dịch vụ gửi thông báo cho khách hàng.</w:t>
      </w:r>
    </w:p>
    <w:p w14:paraId="6D707105">
      <w:pPr>
        <w:pStyle w:val="2"/>
        <w:bidi w:val="0"/>
        <w:rPr>
          <w:rFonts w:hint="default" w:ascii="Times New Roman" w:hAnsi="Times New Roman" w:cs="Times New Roman"/>
          <w:sz w:val="24"/>
          <w:szCs w:val="24"/>
        </w:rPr>
      </w:pPr>
      <w:r>
        <w:rPr>
          <w:rFonts w:hint="default" w:ascii="Times New Roman" w:hAnsi="Times New Roman" w:cs="Times New Roman"/>
          <w:sz w:val="24"/>
          <w:szCs w:val="24"/>
        </w:rPr>
        <w:t>Phần 2 – So sánh hai chiến lược</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87"/>
        <w:gridCol w:w="3458"/>
        <w:gridCol w:w="3661"/>
      </w:tblGrid>
      <w:tr w14:paraId="5115F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00" w:hRule="atLeast"/>
        </w:trPr>
        <w:tc>
          <w:tcPr>
            <w:tcW w:w="0" w:type="auto"/>
            <w:shd w:val="clear" w:color="auto" w:fill="auto"/>
            <w:tcMar>
              <w:top w:w="100" w:type="dxa"/>
              <w:left w:w="100" w:type="dxa"/>
              <w:bottom w:w="100" w:type="dxa"/>
              <w:right w:w="100" w:type="dxa"/>
            </w:tcMar>
            <w:vAlign w:val="top"/>
          </w:tcPr>
          <w:p w14:paraId="3DA9D1AD">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Tiêu chí</w:t>
            </w:r>
          </w:p>
        </w:tc>
        <w:tc>
          <w:tcPr>
            <w:tcW w:w="0" w:type="auto"/>
            <w:shd w:val="clear" w:color="auto" w:fill="auto"/>
            <w:tcMar>
              <w:top w:w="100" w:type="dxa"/>
              <w:left w:w="100" w:type="dxa"/>
              <w:bottom w:w="100" w:type="dxa"/>
              <w:right w:w="100" w:type="dxa"/>
            </w:tcMar>
            <w:vAlign w:val="top"/>
          </w:tcPr>
          <w:p w14:paraId="523400F1">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Chiến lược A – Theo nghiệp vụ</w:t>
            </w:r>
          </w:p>
        </w:tc>
        <w:tc>
          <w:tcPr>
            <w:tcW w:w="0" w:type="auto"/>
            <w:shd w:val="clear" w:color="auto" w:fill="auto"/>
            <w:tcMar>
              <w:top w:w="100" w:type="dxa"/>
              <w:left w:w="100" w:type="dxa"/>
              <w:bottom w:w="100" w:type="dxa"/>
              <w:right w:w="100" w:type="dxa"/>
            </w:tcMar>
            <w:vAlign w:val="top"/>
          </w:tcPr>
          <w:p w14:paraId="101CC670">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Chiến lược B – Theo kỹ thuật</w:t>
            </w:r>
          </w:p>
        </w:tc>
      </w:tr>
      <w:tr w14:paraId="3BD8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310" w:hRule="atLeast"/>
        </w:trPr>
        <w:tc>
          <w:tcPr>
            <w:tcW w:w="0" w:type="auto"/>
            <w:shd w:val="clear" w:color="auto" w:fill="auto"/>
            <w:tcMar>
              <w:top w:w="100" w:type="dxa"/>
              <w:left w:w="100" w:type="dxa"/>
              <w:bottom w:w="100" w:type="dxa"/>
              <w:right w:w="100" w:type="dxa"/>
            </w:tcMar>
            <w:vAlign w:val="top"/>
          </w:tcPr>
          <w:p w14:paraId="753406E0">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Independent</w:t>
            </w:r>
          </w:p>
        </w:tc>
        <w:tc>
          <w:tcPr>
            <w:tcW w:w="0" w:type="auto"/>
            <w:shd w:val="clear" w:color="auto" w:fill="auto"/>
            <w:tcMar>
              <w:top w:w="100" w:type="dxa"/>
              <w:left w:w="100" w:type="dxa"/>
              <w:bottom w:w="100" w:type="dxa"/>
              <w:right w:w="100" w:type="dxa"/>
            </w:tcMar>
            <w:vAlign w:val="top"/>
          </w:tcPr>
          <w:p w14:paraId="70BBA81A">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 Các tính năng tương đối độc lập, có thể triển khai từng trường hợp hủy. (–) Chức năng tính lại giá vẫn cần kết quả từ quá trình hủy chuyến.</w:t>
            </w:r>
          </w:p>
        </w:tc>
        <w:tc>
          <w:tcPr>
            <w:tcW w:w="0" w:type="auto"/>
            <w:shd w:val="clear" w:color="auto" w:fill="auto"/>
            <w:tcMar>
              <w:top w:w="100" w:type="dxa"/>
              <w:left w:w="100" w:type="dxa"/>
              <w:bottom w:w="100" w:type="dxa"/>
              <w:right w:w="100" w:type="dxa"/>
            </w:tcMar>
            <w:vAlign w:val="top"/>
          </w:tcPr>
          <w:p w14:paraId="7AE412E1">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 Phân chia rõ ràng theo từng thành phần kỹ thuật. (–) Các thành phần phụ thuộc lẫn nhau, ví dụ tính phí cần dữ liệu từ API.</w:t>
            </w:r>
          </w:p>
        </w:tc>
      </w:tr>
      <w:tr w14:paraId="56420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580" w:hRule="atLeast"/>
        </w:trPr>
        <w:tc>
          <w:tcPr>
            <w:tcW w:w="0" w:type="auto"/>
            <w:shd w:val="clear" w:color="auto" w:fill="auto"/>
            <w:tcMar>
              <w:top w:w="100" w:type="dxa"/>
              <w:left w:w="100" w:type="dxa"/>
              <w:bottom w:w="100" w:type="dxa"/>
              <w:right w:w="100" w:type="dxa"/>
            </w:tcMar>
            <w:vAlign w:val="top"/>
          </w:tcPr>
          <w:p w14:paraId="56F48921">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Small</w:t>
            </w:r>
          </w:p>
        </w:tc>
        <w:tc>
          <w:tcPr>
            <w:tcW w:w="0" w:type="auto"/>
            <w:shd w:val="clear" w:color="auto" w:fill="auto"/>
            <w:tcMar>
              <w:top w:w="100" w:type="dxa"/>
              <w:left w:w="100" w:type="dxa"/>
              <w:bottom w:w="100" w:type="dxa"/>
              <w:right w:w="100" w:type="dxa"/>
            </w:tcMar>
            <w:vAlign w:val="top"/>
          </w:tcPr>
          <w:p w14:paraId="1E5F5CC0">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 Có thể chia thành các Feature nhỏ theo từng quy tắc nghiệp vụ. (–) Một số tính năng như tính lại giá có thể cần chia nhỏ hơn.</w:t>
            </w:r>
          </w:p>
        </w:tc>
        <w:tc>
          <w:tcPr>
            <w:tcW w:w="0" w:type="auto"/>
            <w:shd w:val="clear" w:color="auto" w:fill="auto"/>
            <w:tcMar>
              <w:top w:w="100" w:type="dxa"/>
              <w:left w:w="100" w:type="dxa"/>
              <w:bottom w:w="100" w:type="dxa"/>
              <w:right w:w="100" w:type="dxa"/>
            </w:tcMar>
            <w:vAlign w:val="top"/>
          </w:tcPr>
          <w:p w14:paraId="23525880">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 Công việc được chia theo từng lớp, thuận tiện cho việc phân công. (–) Một số phần kỹ thuật có thể quá lớn hoặc khó hoàn thiện độc lập trong một Sprint.</w:t>
            </w:r>
          </w:p>
        </w:tc>
      </w:tr>
      <w:tr w14:paraId="3D777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310" w:hRule="atLeast"/>
        </w:trPr>
        <w:tc>
          <w:tcPr>
            <w:tcW w:w="0" w:type="auto"/>
            <w:shd w:val="clear" w:color="auto" w:fill="auto"/>
            <w:tcMar>
              <w:top w:w="100" w:type="dxa"/>
              <w:left w:w="100" w:type="dxa"/>
              <w:bottom w:w="100" w:type="dxa"/>
              <w:right w:w="100" w:type="dxa"/>
            </w:tcMar>
            <w:vAlign w:val="top"/>
          </w:tcPr>
          <w:p w14:paraId="2BD1D660">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Valuable</w:t>
            </w:r>
          </w:p>
        </w:tc>
        <w:tc>
          <w:tcPr>
            <w:tcW w:w="0" w:type="auto"/>
            <w:shd w:val="clear" w:color="auto" w:fill="auto"/>
            <w:tcMar>
              <w:top w:w="100" w:type="dxa"/>
              <w:left w:w="100" w:type="dxa"/>
              <w:bottom w:w="100" w:type="dxa"/>
              <w:right w:w="100" w:type="dxa"/>
            </w:tcMar>
            <w:vAlign w:val="top"/>
          </w:tcPr>
          <w:p w14:paraId="0393C214">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 Mỗi Feature hoàn thành đều mang lại giá trị cụ thể cho khách hàng, chẳng hạn hủy miễn phí hoặc hủy có phí.</w:t>
            </w:r>
          </w:p>
        </w:tc>
        <w:tc>
          <w:tcPr>
            <w:tcW w:w="0" w:type="auto"/>
            <w:shd w:val="clear" w:color="auto" w:fill="auto"/>
            <w:tcMar>
              <w:top w:w="100" w:type="dxa"/>
              <w:left w:w="100" w:type="dxa"/>
              <w:bottom w:w="100" w:type="dxa"/>
              <w:right w:w="100" w:type="dxa"/>
            </w:tcMar>
            <w:vAlign w:val="top"/>
          </w:tcPr>
          <w:p w14:paraId="16822F03">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 Giúp hoàn thiện từng thành phần kỹ thuật. (–) Người dùng thường chưa sử dụng được chức năng hoàn chỉnh nếu các thành phần khác chưa xong.</w:t>
            </w:r>
          </w:p>
        </w:tc>
      </w:tr>
    </w:tbl>
    <w:p w14:paraId="0F57B767">
      <w:pPr>
        <w:pStyle w:val="2"/>
        <w:bidi w:val="0"/>
        <w:rPr>
          <w:rFonts w:hint="default" w:ascii="Times New Roman" w:hAnsi="Times New Roman" w:cs="Times New Roman"/>
          <w:sz w:val="24"/>
          <w:szCs w:val="24"/>
        </w:rPr>
      </w:pPr>
      <w:r>
        <w:rPr>
          <w:rFonts w:hint="default" w:ascii="Times New Roman" w:hAnsi="Times New Roman" w:cs="Times New Roman"/>
          <w:sz w:val="24"/>
          <w:szCs w:val="24"/>
        </w:rPr>
        <w:t>Phần 3 – Lựa chọn chiến lược và đặc tả</w:t>
      </w:r>
    </w:p>
    <w:p w14:paraId="2549D1D8">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Lựa chọn chiến lược A: Phân rã theo nghiệp vụ.</w:t>
      </w:r>
    </w:p>
    <w:p w14:paraId="2A750524">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Lý do: Cách phân rã này tập trung vào nhu cầu thực tế của người dùng, giúp mỗi Feature có thể được phát triển và kiểm thử như một chức năng hoàn chỉnh. Nhóm có thể ưu tiên tính năng cần thiết trước, sau đó bổ sung các trường hợp phức tạp hơn. Ngược lại, chiến lược B chủ yếu chia công việc theo kỹ thuật nên các phần riêng lẻ chưa tạo ra giá trị sử dụng rõ ràng.</w:t>
      </w:r>
    </w:p>
    <w:p w14:paraId="6A8FA611">
      <w:pPr>
        <w:pStyle w:val="3"/>
        <w:bidi w:val="0"/>
        <w:rPr>
          <w:rFonts w:hint="default" w:ascii="Times New Roman" w:hAnsi="Times New Roman" w:cs="Times New Roman"/>
          <w:sz w:val="24"/>
          <w:szCs w:val="24"/>
        </w:rPr>
      </w:pPr>
      <w:r>
        <w:rPr>
          <w:rFonts w:hint="default" w:ascii="Times New Roman" w:hAnsi="Times New Roman" w:cs="Times New Roman"/>
          <w:sz w:val="24"/>
          <w:szCs w:val="24"/>
        </w:rPr>
        <w:t>User Story – F2: Hủy chuyến sau khi tài xế nhận</w:t>
      </w:r>
    </w:p>
    <w:p w14:paraId="1F9D566A">
      <w:pPr>
        <w:pStyle w:val="6"/>
        <w:keepNext w:val="0"/>
        <w:keepLines w:val="0"/>
        <w:widowControl/>
        <w:suppressLineNumbers w:val="0"/>
        <w:bidi w:val="0"/>
        <w:spacing w:before="240" w:beforeAutospacing="0" w:after="240" w:afterAutospacing="0" w:line="17"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Là một khách hàng đã đặt chuyến ghép, tôi muốn biết trước khoản phí hủy 10.000đ khi tài xế đã nhận chuyến, để tôi có thể cân nhắc trước khi xác nhận hủy và tránh phát sinh chi phí ngoài dự kiến.</w:t>
      </w:r>
    </w:p>
    <w:p w14:paraId="224BD28A">
      <w:pPr>
        <w:pStyle w:val="3"/>
        <w:bidi w:val="0"/>
        <w:rPr>
          <w:rFonts w:hint="default" w:ascii="Times New Roman" w:hAnsi="Times New Roman" w:cs="Times New Roman"/>
          <w:sz w:val="24"/>
          <w:szCs w:val="24"/>
        </w:rPr>
      </w:pPr>
      <w:r>
        <w:rPr>
          <w:rFonts w:hint="default" w:ascii="Times New Roman" w:hAnsi="Times New Roman" w:cs="Times New Roman"/>
          <w:sz w:val="24"/>
          <w:szCs w:val="24"/>
        </w:rPr>
        <w:t>Acceptance Criteria – Trường hợp hủy trùng thời điểm tài xế nhận chuyến</w:t>
      </w:r>
    </w:p>
    <w:p w14:paraId="5FF3BC71">
      <w:pPr>
        <w:pStyle w:val="6"/>
        <w:keepNext w:val="0"/>
        <w:keepLines w:val="0"/>
        <w:widowControl/>
        <w:suppressLineNumbers w:val="0"/>
        <w:bidi w:val="0"/>
        <w:spacing w:before="240" w:beforeAutospacing="0" w:after="0" w:afterAutospacing="0" w:line="17" w:lineRule="atLeast"/>
        <w:ind w:left="0" w:lef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Given: Khách A và khách B đang cùng sử dụng một chuyến ghép. Máy chủ ghi nhận tài xế nhận chuyến vào lúc 10:00:00.200.</w:t>
      </w:r>
    </w:p>
    <w:p w14:paraId="55EE21C4">
      <w:pPr>
        <w:pStyle w:val="6"/>
        <w:keepNext w:val="0"/>
        <w:keepLines w:val="0"/>
        <w:widowControl/>
        <w:suppressLineNumbers w:val="0"/>
        <w:bidi w:val="0"/>
        <w:spacing w:before="240" w:beforeAutospacing="0" w:after="0" w:afterAutospacing="0" w:line="17" w:lineRule="atLeast"/>
        <w:ind w:left="0" w:leftChars="0"/>
        <w:jc w:val="left"/>
        <w:rPr>
          <w:rFonts w:hint="default" w:ascii="Times New Roman" w:hAnsi="Times New Roman" w:cs="Times New Roman"/>
          <w:i w:val="0"/>
          <w:iCs w:val="0"/>
          <w:color w:val="000000"/>
          <w:sz w:val="24"/>
          <w:szCs w:val="24"/>
          <w:u w:val="none"/>
          <w:vertAlign w:val="baseline"/>
        </w:rPr>
      </w:pPr>
    </w:p>
    <w:p w14:paraId="7CB5DF3C">
      <w:pPr>
        <w:pStyle w:val="6"/>
        <w:keepNext w:val="0"/>
        <w:keepLines w:val="0"/>
        <w:widowControl/>
        <w:suppressLineNumbers w:val="0"/>
        <w:bidi w:val="0"/>
        <w:spacing w:before="0" w:beforeAutospacing="0" w:after="0" w:afterAutospacing="0" w:line="17" w:lineRule="atLeast"/>
        <w:ind w:left="0" w:lef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When: Khách A gửi yêu cầu hủy và máy chủ tiếp nhận vào lúc 10:00:00.350.</w:t>
      </w:r>
    </w:p>
    <w:p w14:paraId="148297E3">
      <w:pPr>
        <w:pStyle w:val="6"/>
        <w:keepNext w:val="0"/>
        <w:keepLines w:val="0"/>
        <w:widowControl/>
        <w:suppressLineNumbers w:val="0"/>
        <w:bidi w:val="0"/>
        <w:spacing w:before="0" w:beforeAutospacing="0" w:after="0" w:afterAutospacing="0" w:line="17" w:lineRule="atLeast"/>
        <w:ind w:left="0" w:leftChars="0"/>
        <w:jc w:val="left"/>
        <w:rPr>
          <w:rFonts w:hint="default" w:ascii="Times New Roman" w:hAnsi="Times New Roman" w:cs="Times New Roman"/>
          <w:i w:val="0"/>
          <w:iCs w:val="0"/>
          <w:color w:val="000000"/>
          <w:sz w:val="24"/>
          <w:szCs w:val="24"/>
          <w:u w:val="none"/>
          <w:vertAlign w:val="baseline"/>
        </w:rPr>
      </w:pPr>
    </w:p>
    <w:p w14:paraId="73671D8D">
      <w:pPr>
        <w:pStyle w:val="6"/>
        <w:keepNext w:val="0"/>
        <w:keepLines w:val="0"/>
        <w:widowControl/>
        <w:suppressLineNumbers w:val="0"/>
        <w:bidi w:val="0"/>
        <w:spacing w:before="0" w:beforeAutospacing="0" w:after="0" w:afterAutospacing="0" w:line="17" w:lineRule="atLeast"/>
        <w:ind w:left="0" w:leftChars="0"/>
        <w:jc w:val="lef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Then: Hệ thống xác định yêu cầu hủy xảy ra sau khi tài xế nhận chuyến, áp dụng phí hủy 10.000đ cho khách A, tính toán lại giá cước của khách B, đồng thời gửi thông báo cập nhật giá cho khách B và thông báo phí hủy cho khách A.</w:t>
      </w:r>
    </w:p>
    <w:p w14:paraId="6C8F5F31">
      <w:pPr>
        <w:jc w:val="left"/>
        <w:rPr>
          <w:rFonts w:hint="default" w:ascii="Times New Roman" w:hAnsi="Times New Roman" w:cs="Times New Roma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3770F3"/>
    <w:rsid w:val="24350227"/>
    <w:rsid w:val="25D5128C"/>
    <w:rsid w:val="493770F3"/>
    <w:rsid w:val="793454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 w:type="table" w:styleId="8">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617</Words>
  <Characters>2248</Characters>
  <Lines>0</Lines>
  <Paragraphs>0</Paragraphs>
  <TotalTime>47</TotalTime>
  <ScaleCrop>false</ScaleCrop>
  <LinksUpToDate>false</LinksUpToDate>
  <CharactersWithSpaces>2831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2026-10-12T03:45:00Z</dcterms:created>
  <dc:creator>Đức Trần Minh</dc:creator>
  <cp:lastModifiedBy>Đạt Phùng</cp:lastModifiedBy>
  <dcterms:modified xsi:type="dcterms:W3CDTF">2026-10-13T04:22:46Z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D231A3DE1688475FAA1DC715811BA016_11</vt:lpwstr>
  </property>
  <property fmtid="{D5CDD505-2E9C-101B-9397-08002B2CF9AE}" pid="4" name="KSOTemplateDocerSaveRecord">
    <vt:lpwstr>eyJoZGlkIjoiMjVmMDEzYmFjNGE1NWFjYmVhMmJiMzljYWYwMzFmN2UiLCJ1c2VySWQiOiIxMzkyMjgwMTkwNDc4In0=</vt:lpwstr>
  </property>
</Properties>
</file>