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3D4" w:rsidRDefault="003643D4" w:rsidP="00AE33E7">
      <w:pPr>
        <w:pStyle w:val="Default"/>
        <w:jc w:val="center"/>
        <w:rPr>
          <w:rFonts w:ascii="Times New Roman" w:hAnsi="Times New Roman" w:cs="Times New Roman"/>
          <w:b/>
          <w:sz w:val="22"/>
          <w:szCs w:val="22"/>
          <w:u w:val="single"/>
          <w:lang w:val="en-US"/>
        </w:rPr>
      </w:pPr>
    </w:p>
    <w:p w:rsidR="00A31896" w:rsidRDefault="00E12715" w:rsidP="00AE33E7">
      <w:pPr>
        <w:pStyle w:val="Default"/>
        <w:jc w:val="center"/>
        <w:rPr>
          <w:rFonts w:ascii="Arial" w:hAnsi="Arial" w:cs="Arial"/>
          <w:b/>
        </w:rPr>
      </w:pPr>
      <w:r w:rsidRPr="00C22194">
        <w:rPr>
          <w:rFonts w:ascii="Arial" w:hAnsi="Arial" w:cs="Arial"/>
          <w:b/>
        </w:rPr>
        <w:t>EXPRESSION DE BESOIN</w:t>
      </w:r>
      <w:r w:rsidR="00C22194" w:rsidRPr="00C22194">
        <w:rPr>
          <w:rFonts w:ascii="Arial" w:hAnsi="Arial" w:cs="Arial"/>
          <w:b/>
        </w:rPr>
        <w:t>S</w:t>
      </w:r>
      <w:r w:rsidR="00A46CEE">
        <w:rPr>
          <w:rFonts w:ascii="Arial" w:hAnsi="Arial" w:cs="Arial"/>
          <w:b/>
        </w:rPr>
        <w:t xml:space="preserve"> </w:t>
      </w:r>
    </w:p>
    <w:p w:rsidR="00A46CEE" w:rsidRDefault="00A46CEE" w:rsidP="00AE33E7">
      <w:pPr>
        <w:pStyle w:val="Default"/>
        <w:jc w:val="center"/>
        <w:rPr>
          <w:rFonts w:ascii="Arial" w:hAnsi="Arial" w:cs="Arial"/>
          <w:b/>
        </w:rPr>
      </w:pPr>
      <w:r>
        <w:rPr>
          <w:rFonts w:ascii="Arial" w:hAnsi="Arial" w:cs="Arial"/>
          <w:b/>
        </w:rPr>
        <w:t xml:space="preserve">ET </w:t>
      </w:r>
    </w:p>
    <w:p w:rsidR="00A46CEE" w:rsidRPr="00C22194" w:rsidRDefault="00A46CEE" w:rsidP="00AE33E7">
      <w:pPr>
        <w:pStyle w:val="Default"/>
        <w:jc w:val="center"/>
        <w:rPr>
          <w:rFonts w:ascii="Arial" w:hAnsi="Arial" w:cs="Arial"/>
          <w:b/>
        </w:rPr>
      </w:pPr>
      <w:r>
        <w:rPr>
          <w:rFonts w:ascii="Arial" w:hAnsi="Arial" w:cs="Arial"/>
          <w:b/>
        </w:rPr>
        <w:t>SPECIFICATIONS FONCTIONNELLES</w:t>
      </w:r>
      <w:bookmarkStart w:id="0" w:name="_GoBack"/>
      <w:bookmarkEnd w:id="0"/>
    </w:p>
    <w:p w:rsidR="00AE681B" w:rsidRPr="00C76C68" w:rsidRDefault="00AE681B" w:rsidP="00AE33E7">
      <w:pPr>
        <w:pStyle w:val="Default"/>
        <w:jc w:val="center"/>
        <w:rPr>
          <w:rFonts w:ascii="Arial" w:hAnsi="Arial" w:cs="Arial"/>
          <w:b/>
          <w:sz w:val="28"/>
          <w:szCs w:val="28"/>
        </w:rPr>
      </w:pPr>
    </w:p>
    <w:p w:rsidR="00A31896" w:rsidRPr="00C76C68" w:rsidRDefault="00A31896" w:rsidP="00AE33E7">
      <w:pPr>
        <w:pStyle w:val="Default"/>
        <w:jc w:val="center"/>
        <w:rPr>
          <w:rFonts w:ascii="Arial" w:hAnsi="Arial" w:cs="Arial"/>
          <w:b/>
          <w:sz w:val="22"/>
          <w:szCs w:val="22"/>
        </w:rPr>
      </w:pPr>
    </w:p>
    <w:p w:rsidR="00AE33E7" w:rsidRPr="00566766" w:rsidRDefault="00C22194" w:rsidP="00AE33E7">
      <w:pPr>
        <w:pStyle w:val="Default"/>
        <w:jc w:val="center"/>
        <w:rPr>
          <w:rFonts w:ascii="Arial" w:hAnsi="Arial" w:cs="Arial"/>
          <w:b/>
        </w:rPr>
      </w:pPr>
      <w:r w:rsidRPr="00566766">
        <w:rPr>
          <w:rFonts w:ascii="Arial" w:hAnsi="Arial" w:cs="Arial"/>
          <w:b/>
        </w:rPr>
        <w:t>Projet</w:t>
      </w:r>
      <w:r w:rsidR="002275C1" w:rsidRPr="00566766">
        <w:rPr>
          <w:rFonts w:ascii="Arial" w:hAnsi="Arial" w:cs="Arial"/>
          <w:b/>
        </w:rPr>
        <w:t> :</w:t>
      </w:r>
      <w:r w:rsidR="00566766" w:rsidRPr="00566766">
        <w:rPr>
          <w:rFonts w:ascii="Arial" w:hAnsi="Arial" w:cs="Arial"/>
          <w:b/>
        </w:rPr>
        <w:t xml:space="preserve"> </w:t>
      </w:r>
      <w:proofErr w:type="spellStart"/>
      <w:r w:rsidR="00566766" w:rsidRPr="00566766">
        <w:rPr>
          <w:rFonts w:ascii="Arial" w:hAnsi="Arial" w:cs="Arial"/>
          <w:b/>
        </w:rPr>
        <w:t>Leverage</w:t>
      </w:r>
      <w:proofErr w:type="spellEnd"/>
      <w:r w:rsidR="003D2A5B">
        <w:rPr>
          <w:rFonts w:ascii="Arial" w:hAnsi="Arial" w:cs="Arial"/>
          <w:b/>
        </w:rPr>
        <w:t xml:space="preserve"> (</w:t>
      </w:r>
      <w:proofErr w:type="spellStart"/>
      <w:r w:rsidR="003D2A5B">
        <w:rPr>
          <w:rFonts w:ascii="Arial" w:hAnsi="Arial" w:cs="Arial"/>
          <w:b/>
        </w:rPr>
        <w:t>Notional</w:t>
      </w:r>
      <w:proofErr w:type="spellEnd"/>
      <w:r w:rsidR="003D2A5B">
        <w:rPr>
          <w:rFonts w:ascii="Arial" w:hAnsi="Arial" w:cs="Arial"/>
          <w:b/>
        </w:rPr>
        <w:t xml:space="preserve"> </w:t>
      </w:r>
      <w:proofErr w:type="spellStart"/>
      <w:r w:rsidR="003D2A5B">
        <w:rPr>
          <w:rFonts w:ascii="Arial" w:hAnsi="Arial" w:cs="Arial"/>
          <w:b/>
        </w:rPr>
        <w:t>amounts</w:t>
      </w:r>
      <w:proofErr w:type="spellEnd"/>
      <w:r w:rsidR="003D2A5B">
        <w:rPr>
          <w:rFonts w:ascii="Arial" w:hAnsi="Arial" w:cs="Arial"/>
          <w:b/>
        </w:rPr>
        <w:t>)</w:t>
      </w:r>
    </w:p>
    <w:p w:rsidR="00AE33E7" w:rsidRPr="00C76C68" w:rsidRDefault="00AE33E7" w:rsidP="00AE33E7">
      <w:pPr>
        <w:pStyle w:val="Default"/>
        <w:jc w:val="center"/>
        <w:rPr>
          <w:rFonts w:ascii="Arial" w:hAnsi="Arial" w:cs="Arial"/>
          <w:b/>
          <w:sz w:val="22"/>
          <w:szCs w:val="22"/>
          <w:u w:val="single"/>
        </w:rPr>
      </w:pPr>
    </w:p>
    <w:p w:rsidR="00FC3068" w:rsidRDefault="00601C50" w:rsidP="00601C50">
      <w:pPr>
        <w:pStyle w:val="Default"/>
        <w:tabs>
          <w:tab w:val="left" w:pos="2350"/>
        </w:tabs>
        <w:rPr>
          <w:rFonts w:ascii="Arial" w:hAnsi="Arial" w:cs="Arial"/>
          <w:sz w:val="22"/>
          <w:szCs w:val="22"/>
        </w:rPr>
      </w:pPr>
      <w:r>
        <w:rPr>
          <w:rFonts w:ascii="Arial" w:hAnsi="Arial" w:cs="Arial"/>
          <w:sz w:val="22"/>
          <w:szCs w:val="22"/>
        </w:rPr>
        <w:tab/>
      </w:r>
    </w:p>
    <w:p w:rsidR="002C3AC2" w:rsidRPr="00C76C68" w:rsidRDefault="002C3AC2" w:rsidP="00AE33E7">
      <w:pPr>
        <w:pStyle w:val="Default"/>
        <w:rPr>
          <w:rFonts w:ascii="Arial" w:hAnsi="Arial" w:cs="Arial"/>
          <w:sz w:val="22"/>
          <w:szCs w:val="22"/>
        </w:rPr>
      </w:pPr>
    </w:p>
    <w:p w:rsidR="00865C05" w:rsidRPr="00F9198D" w:rsidRDefault="00F9198D" w:rsidP="00F9198D">
      <w:pPr>
        <w:rPr>
          <w:rStyle w:val="lev"/>
          <w:rFonts w:ascii="Arial" w:hAnsi="Arial" w:cs="Arial"/>
        </w:rPr>
      </w:pPr>
      <w:r w:rsidRPr="00F9198D">
        <w:rPr>
          <w:rStyle w:val="lev"/>
          <w:rFonts w:ascii="Arial" w:hAnsi="Arial" w:cs="Arial"/>
        </w:rPr>
        <w:t>Destinatair</w:t>
      </w:r>
      <w:r w:rsidRPr="00F9198D">
        <w:rPr>
          <w:rStyle w:val="lev"/>
          <w:rFonts w:ascii="Arial" w:hAnsi="Arial" w:cs="Arial"/>
          <w:bCs w:val="0"/>
        </w:rPr>
        <w:t>e</w:t>
      </w:r>
      <w:r>
        <w:rPr>
          <w:rStyle w:val="lev"/>
          <w:rFonts w:ascii="Arial" w:hAnsi="Arial" w:cs="Arial"/>
          <w:bCs w:val="0"/>
        </w:rPr>
        <w:t>s</w:t>
      </w:r>
      <w:r w:rsidR="002275C1" w:rsidRPr="00F9198D">
        <w:rPr>
          <w:rStyle w:val="lev"/>
          <w:rFonts w:ascii="Arial" w:hAnsi="Arial" w:cs="Arial"/>
        </w:rPr>
        <w:t xml:space="preserve"> </w:t>
      </w:r>
    </w:p>
    <w:p w:rsidR="005F3AC8" w:rsidRPr="005F3AC8" w:rsidRDefault="005F3AC8" w:rsidP="005F3AC8">
      <w:pPr>
        <w:rPr>
          <w:rFonts w:ascii="Arial" w:hAnsi="Arial" w:cs="Arial"/>
          <w:smallCaps/>
          <w:sz w:val="22"/>
          <w:szCs w:val="22"/>
        </w:rPr>
      </w:pPr>
    </w:p>
    <w:tbl>
      <w:tblPr>
        <w:tblW w:w="35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04"/>
        <w:gridCol w:w="4519"/>
      </w:tblGrid>
      <w:tr w:rsidR="002275C1" w:rsidRPr="00C76C68" w:rsidTr="002275C1">
        <w:trPr>
          <w:cantSplit/>
          <w:trHeight w:val="242"/>
        </w:trPr>
        <w:tc>
          <w:tcPr>
            <w:tcW w:w="1736" w:type="pct"/>
            <w:shd w:val="clear" w:color="auto" w:fill="A6A6A6"/>
            <w:vAlign w:val="center"/>
          </w:tcPr>
          <w:p w:rsidR="002275C1" w:rsidRPr="00C76C68" w:rsidRDefault="002275C1" w:rsidP="00D74225">
            <w:pPr>
              <w:pStyle w:val="Libell"/>
              <w:rPr>
                <w:rFonts w:cs="Arial"/>
                <w:b/>
                <w:bCs/>
                <w:color w:val="FFFFFF"/>
                <w:sz w:val="18"/>
                <w:szCs w:val="18"/>
              </w:rPr>
            </w:pPr>
            <w:r w:rsidRPr="00C76C68">
              <w:rPr>
                <w:rFonts w:cs="Arial"/>
                <w:b/>
                <w:bCs/>
                <w:color w:val="FFFFFF"/>
                <w:sz w:val="18"/>
                <w:szCs w:val="18"/>
              </w:rPr>
              <w:t>Prénom</w:t>
            </w:r>
            <w:r w:rsidR="00AD61E2">
              <w:rPr>
                <w:rFonts w:cs="Arial"/>
                <w:b/>
                <w:bCs/>
                <w:color w:val="FFFFFF"/>
                <w:sz w:val="18"/>
                <w:szCs w:val="18"/>
              </w:rPr>
              <w:t xml:space="preserve"> Nom</w:t>
            </w:r>
          </w:p>
        </w:tc>
        <w:tc>
          <w:tcPr>
            <w:tcW w:w="3264" w:type="pct"/>
            <w:shd w:val="clear" w:color="auto" w:fill="A6A6A6"/>
            <w:vAlign w:val="center"/>
          </w:tcPr>
          <w:p w:rsidR="002275C1" w:rsidRPr="00C76C68" w:rsidRDefault="002275C1" w:rsidP="00D74225">
            <w:pPr>
              <w:pStyle w:val="Libell"/>
              <w:rPr>
                <w:rFonts w:cs="Arial"/>
                <w:b/>
                <w:bCs/>
                <w:color w:val="FFFFFF"/>
                <w:sz w:val="18"/>
                <w:szCs w:val="18"/>
              </w:rPr>
            </w:pPr>
            <w:r w:rsidRPr="00C76C68">
              <w:rPr>
                <w:rFonts w:cs="Arial"/>
                <w:b/>
                <w:bCs/>
                <w:color w:val="FFFFFF"/>
                <w:sz w:val="18"/>
                <w:szCs w:val="18"/>
              </w:rPr>
              <w:t>Fonction</w:t>
            </w:r>
          </w:p>
        </w:tc>
      </w:tr>
      <w:tr w:rsidR="002275C1" w:rsidRPr="00C76C68" w:rsidTr="002275C1">
        <w:trPr>
          <w:cantSplit/>
          <w:trHeight w:val="273"/>
        </w:trPr>
        <w:tc>
          <w:tcPr>
            <w:tcW w:w="1736" w:type="pct"/>
            <w:vAlign w:val="center"/>
          </w:tcPr>
          <w:p w:rsidR="002275C1" w:rsidRPr="00D36802" w:rsidRDefault="002275C1" w:rsidP="00D74225">
            <w:pPr>
              <w:rPr>
                <w:rFonts w:ascii="Arial" w:hAnsi="Arial" w:cs="Arial"/>
                <w:lang w:val="en-GB"/>
              </w:rPr>
            </w:pPr>
            <w:r>
              <w:rPr>
                <w:rFonts w:ascii="Arial" w:hAnsi="Arial" w:cs="Arial"/>
              </w:rPr>
              <w:t>Thomas Rouxel</w:t>
            </w:r>
          </w:p>
        </w:tc>
        <w:tc>
          <w:tcPr>
            <w:tcW w:w="3264" w:type="pct"/>
            <w:vAlign w:val="center"/>
          </w:tcPr>
          <w:p w:rsidR="002275C1" w:rsidRPr="00D36802" w:rsidRDefault="002275C1" w:rsidP="00D74225">
            <w:pPr>
              <w:pStyle w:val="Normaltableau"/>
              <w:jc w:val="left"/>
              <w:rPr>
                <w:rFonts w:ascii="Arial" w:hAnsi="Arial" w:cs="Arial"/>
                <w:color w:val="000000"/>
                <w:sz w:val="20"/>
                <w:szCs w:val="20"/>
              </w:rPr>
            </w:pPr>
            <w:r>
              <w:rPr>
                <w:rFonts w:ascii="Arial" w:hAnsi="Arial" w:cs="Arial"/>
                <w:color w:val="000000"/>
                <w:sz w:val="20"/>
                <w:szCs w:val="20"/>
              </w:rPr>
              <w:t>MOA métier</w:t>
            </w:r>
          </w:p>
        </w:tc>
      </w:tr>
      <w:tr w:rsidR="002275C1" w:rsidRPr="00C76C68" w:rsidTr="002275C1">
        <w:trPr>
          <w:cantSplit/>
          <w:trHeight w:val="273"/>
        </w:trPr>
        <w:tc>
          <w:tcPr>
            <w:tcW w:w="1736" w:type="pct"/>
            <w:tcBorders>
              <w:top w:val="single" w:sz="4" w:space="0" w:color="auto"/>
              <w:left w:val="single" w:sz="4" w:space="0" w:color="auto"/>
              <w:bottom w:val="single" w:sz="4" w:space="0" w:color="auto"/>
              <w:right w:val="single" w:sz="4" w:space="0" w:color="auto"/>
            </w:tcBorders>
            <w:vAlign w:val="center"/>
          </w:tcPr>
          <w:p w:rsidR="002275C1" w:rsidRPr="00C76C68" w:rsidRDefault="002275C1" w:rsidP="00D74225">
            <w:pPr>
              <w:rPr>
                <w:rFonts w:ascii="Arial" w:hAnsi="Arial" w:cs="Arial"/>
              </w:rPr>
            </w:pPr>
            <w:r>
              <w:rPr>
                <w:rFonts w:ascii="Arial" w:hAnsi="Arial" w:cs="Arial"/>
              </w:rPr>
              <w:t>Mickael Juvenelle</w:t>
            </w:r>
          </w:p>
        </w:tc>
        <w:tc>
          <w:tcPr>
            <w:tcW w:w="3264" w:type="pct"/>
            <w:tcBorders>
              <w:top w:val="single" w:sz="4" w:space="0" w:color="auto"/>
              <w:left w:val="single" w:sz="4" w:space="0" w:color="auto"/>
              <w:bottom w:val="single" w:sz="4" w:space="0" w:color="auto"/>
              <w:right w:val="single" w:sz="4" w:space="0" w:color="auto"/>
            </w:tcBorders>
            <w:vAlign w:val="center"/>
          </w:tcPr>
          <w:p w:rsidR="002275C1" w:rsidRPr="00C76C68" w:rsidRDefault="002275C1" w:rsidP="00A31896">
            <w:pPr>
              <w:pStyle w:val="Normaltableau"/>
              <w:jc w:val="left"/>
              <w:rPr>
                <w:rFonts w:ascii="Arial" w:hAnsi="Arial" w:cs="Arial"/>
                <w:color w:val="000000"/>
                <w:sz w:val="20"/>
                <w:szCs w:val="20"/>
              </w:rPr>
            </w:pPr>
            <w:r>
              <w:rPr>
                <w:rFonts w:ascii="Arial" w:hAnsi="Arial" w:cs="Arial"/>
                <w:color w:val="000000"/>
                <w:sz w:val="20"/>
                <w:szCs w:val="20"/>
              </w:rPr>
              <w:t>Gestion projets</w:t>
            </w:r>
          </w:p>
        </w:tc>
      </w:tr>
    </w:tbl>
    <w:p w:rsidR="002275C1" w:rsidRDefault="002275C1" w:rsidP="00C22194">
      <w:pPr>
        <w:rPr>
          <w:rFonts w:ascii="Arial" w:hAnsi="Arial" w:cs="Arial"/>
          <w:b/>
          <w:i/>
          <w:sz w:val="24"/>
        </w:rPr>
      </w:pPr>
    </w:p>
    <w:p w:rsidR="005F3AC8" w:rsidRPr="00F9198D" w:rsidRDefault="005F3AC8" w:rsidP="00C22194">
      <w:pPr>
        <w:rPr>
          <w:rFonts w:ascii="Arial" w:hAnsi="Arial" w:cs="Arial"/>
          <w:b/>
          <w:i/>
          <w:sz w:val="24"/>
        </w:rPr>
      </w:pPr>
    </w:p>
    <w:p w:rsidR="00D038CA" w:rsidRPr="00F9198D" w:rsidRDefault="00F9198D" w:rsidP="00F9198D">
      <w:pPr>
        <w:pStyle w:val="Default"/>
        <w:rPr>
          <w:b/>
          <w:bCs/>
          <w:sz w:val="22"/>
          <w:szCs w:val="22"/>
        </w:rPr>
      </w:pPr>
      <w:r>
        <w:rPr>
          <w:b/>
          <w:bCs/>
          <w:sz w:val="22"/>
          <w:szCs w:val="22"/>
        </w:rPr>
        <w:t>Modifications</w:t>
      </w:r>
    </w:p>
    <w:p w:rsidR="005F3AC8" w:rsidRPr="00C76C68" w:rsidRDefault="005F3AC8" w:rsidP="00D038CA">
      <w:pPr>
        <w:rPr>
          <w:rFonts w:ascii="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43"/>
        <w:gridCol w:w="1546"/>
        <w:gridCol w:w="1546"/>
        <w:gridCol w:w="4993"/>
      </w:tblGrid>
      <w:tr w:rsidR="00C22194" w:rsidRPr="00C76C68" w:rsidTr="00C22194">
        <w:trPr>
          <w:cantSplit/>
          <w:trHeight w:val="242"/>
        </w:trPr>
        <w:tc>
          <w:tcPr>
            <w:tcW w:w="801" w:type="pct"/>
            <w:shd w:val="clear" w:color="auto" w:fill="A6A6A6"/>
            <w:vAlign w:val="center"/>
          </w:tcPr>
          <w:p w:rsidR="00C22194" w:rsidRPr="00C76C68" w:rsidRDefault="00C22194" w:rsidP="00D038CA">
            <w:pPr>
              <w:pStyle w:val="Libell"/>
              <w:rPr>
                <w:rFonts w:cs="Arial"/>
                <w:b/>
                <w:bCs/>
                <w:color w:val="FFFFFF"/>
                <w:sz w:val="18"/>
                <w:szCs w:val="18"/>
              </w:rPr>
            </w:pPr>
            <w:r>
              <w:rPr>
                <w:rFonts w:cs="Arial"/>
                <w:b/>
                <w:bCs/>
                <w:color w:val="FFFFFF"/>
                <w:sz w:val="18"/>
                <w:szCs w:val="18"/>
              </w:rPr>
              <w:t>Version</w:t>
            </w:r>
          </w:p>
        </w:tc>
        <w:tc>
          <w:tcPr>
            <w:tcW w:w="803" w:type="pct"/>
            <w:shd w:val="clear" w:color="auto" w:fill="A6A6A6"/>
          </w:tcPr>
          <w:p w:rsidR="00C22194" w:rsidRDefault="00C22194" w:rsidP="00D038CA">
            <w:pPr>
              <w:pStyle w:val="Libell"/>
              <w:rPr>
                <w:rFonts w:cs="Arial"/>
                <w:b/>
                <w:bCs/>
                <w:color w:val="FFFFFF"/>
                <w:sz w:val="18"/>
                <w:szCs w:val="18"/>
              </w:rPr>
            </w:pPr>
            <w:r>
              <w:rPr>
                <w:rFonts w:cs="Arial"/>
                <w:b/>
                <w:bCs/>
                <w:color w:val="FFFFFF"/>
                <w:sz w:val="18"/>
                <w:szCs w:val="18"/>
              </w:rPr>
              <w:t>Modifié le</w:t>
            </w:r>
          </w:p>
        </w:tc>
        <w:tc>
          <w:tcPr>
            <w:tcW w:w="803" w:type="pct"/>
            <w:shd w:val="clear" w:color="auto" w:fill="A6A6A6"/>
            <w:vAlign w:val="center"/>
          </w:tcPr>
          <w:p w:rsidR="00C22194" w:rsidRPr="00C76C68" w:rsidRDefault="00C22194" w:rsidP="00D038CA">
            <w:pPr>
              <w:pStyle w:val="Libell"/>
              <w:rPr>
                <w:rFonts w:cs="Arial"/>
                <w:b/>
                <w:bCs/>
                <w:color w:val="FFFFFF"/>
                <w:sz w:val="18"/>
                <w:szCs w:val="18"/>
              </w:rPr>
            </w:pPr>
            <w:r>
              <w:rPr>
                <w:rFonts w:cs="Arial"/>
                <w:b/>
                <w:bCs/>
                <w:color w:val="FFFFFF"/>
                <w:sz w:val="18"/>
                <w:szCs w:val="18"/>
              </w:rPr>
              <w:t>Modifié par</w:t>
            </w:r>
          </w:p>
        </w:tc>
        <w:tc>
          <w:tcPr>
            <w:tcW w:w="2593" w:type="pct"/>
            <w:shd w:val="clear" w:color="auto" w:fill="A6A6A6"/>
            <w:vAlign w:val="center"/>
          </w:tcPr>
          <w:p w:rsidR="00C22194" w:rsidRPr="00C76C68" w:rsidRDefault="00C22194" w:rsidP="00D038CA">
            <w:pPr>
              <w:pStyle w:val="Libell"/>
              <w:rPr>
                <w:rFonts w:cs="Arial"/>
                <w:b/>
                <w:bCs/>
                <w:color w:val="FFFFFF"/>
                <w:sz w:val="18"/>
                <w:szCs w:val="18"/>
              </w:rPr>
            </w:pPr>
            <w:r>
              <w:rPr>
                <w:rFonts w:cs="Arial"/>
                <w:b/>
                <w:bCs/>
                <w:color w:val="FFFFFF"/>
                <w:sz w:val="18"/>
                <w:szCs w:val="18"/>
              </w:rPr>
              <w:t>Modification</w:t>
            </w:r>
          </w:p>
        </w:tc>
      </w:tr>
      <w:tr w:rsidR="00C22194" w:rsidRPr="00C76C68" w:rsidTr="00C22194">
        <w:trPr>
          <w:cantSplit/>
          <w:trHeight w:val="273"/>
        </w:trPr>
        <w:tc>
          <w:tcPr>
            <w:tcW w:w="801" w:type="pct"/>
            <w:vAlign w:val="center"/>
          </w:tcPr>
          <w:p w:rsidR="00C22194" w:rsidRPr="00D36802" w:rsidRDefault="00D510E3" w:rsidP="00D038CA">
            <w:pPr>
              <w:rPr>
                <w:rFonts w:ascii="Arial" w:hAnsi="Arial" w:cs="Arial"/>
                <w:lang w:val="en-GB"/>
              </w:rPr>
            </w:pPr>
            <w:r>
              <w:rPr>
                <w:rFonts w:ascii="Arial" w:hAnsi="Arial" w:cs="Arial"/>
                <w:lang w:val="en-GB"/>
              </w:rPr>
              <w:t>V1</w:t>
            </w:r>
          </w:p>
        </w:tc>
        <w:tc>
          <w:tcPr>
            <w:tcW w:w="803" w:type="pct"/>
          </w:tcPr>
          <w:p w:rsidR="00C22194" w:rsidRPr="00D36802" w:rsidRDefault="00D510E3" w:rsidP="00D038CA">
            <w:pPr>
              <w:pStyle w:val="Normaltableau"/>
              <w:jc w:val="left"/>
              <w:rPr>
                <w:rFonts w:ascii="Arial" w:hAnsi="Arial" w:cs="Arial"/>
                <w:color w:val="000000"/>
                <w:sz w:val="20"/>
                <w:szCs w:val="20"/>
              </w:rPr>
            </w:pPr>
            <w:r>
              <w:rPr>
                <w:rFonts w:ascii="Arial" w:hAnsi="Arial" w:cs="Arial"/>
                <w:color w:val="000000"/>
                <w:sz w:val="20"/>
                <w:szCs w:val="20"/>
              </w:rPr>
              <w:t>19/08/2015</w:t>
            </w:r>
          </w:p>
        </w:tc>
        <w:tc>
          <w:tcPr>
            <w:tcW w:w="803" w:type="pct"/>
            <w:vAlign w:val="center"/>
          </w:tcPr>
          <w:p w:rsidR="00C22194" w:rsidRPr="00D36802" w:rsidRDefault="00D510E3" w:rsidP="00D038CA">
            <w:pPr>
              <w:pStyle w:val="Normaltableau"/>
              <w:jc w:val="left"/>
              <w:rPr>
                <w:rFonts w:ascii="Arial" w:hAnsi="Arial" w:cs="Arial"/>
                <w:color w:val="000000"/>
                <w:sz w:val="20"/>
                <w:szCs w:val="20"/>
              </w:rPr>
            </w:pPr>
            <w:proofErr w:type="spellStart"/>
            <w:r>
              <w:rPr>
                <w:rFonts w:ascii="Arial" w:hAnsi="Arial" w:cs="Arial"/>
                <w:color w:val="000000"/>
                <w:sz w:val="20"/>
                <w:szCs w:val="20"/>
              </w:rPr>
              <w:t>D.Charlier</w:t>
            </w:r>
            <w:proofErr w:type="spellEnd"/>
          </w:p>
        </w:tc>
        <w:tc>
          <w:tcPr>
            <w:tcW w:w="2593" w:type="pct"/>
            <w:vAlign w:val="center"/>
          </w:tcPr>
          <w:p w:rsidR="00C22194" w:rsidRPr="00D36802" w:rsidRDefault="00D510E3" w:rsidP="00D038CA">
            <w:pPr>
              <w:pStyle w:val="Normaltableau"/>
              <w:jc w:val="left"/>
              <w:rPr>
                <w:rFonts w:ascii="Arial" w:hAnsi="Arial" w:cs="Arial"/>
                <w:color w:val="000000"/>
                <w:sz w:val="20"/>
                <w:szCs w:val="20"/>
              </w:rPr>
            </w:pPr>
            <w:r>
              <w:rPr>
                <w:rFonts w:ascii="Arial" w:hAnsi="Arial" w:cs="Arial"/>
                <w:color w:val="000000"/>
                <w:sz w:val="20"/>
                <w:szCs w:val="20"/>
              </w:rPr>
              <w:t>Expression de besoin</w:t>
            </w:r>
          </w:p>
        </w:tc>
      </w:tr>
      <w:tr w:rsidR="00D510E3" w:rsidRPr="00C76C68" w:rsidTr="00C22194">
        <w:trPr>
          <w:cantSplit/>
          <w:trHeight w:val="273"/>
        </w:trPr>
        <w:tc>
          <w:tcPr>
            <w:tcW w:w="801" w:type="pct"/>
            <w:vAlign w:val="center"/>
          </w:tcPr>
          <w:p w:rsidR="00D510E3" w:rsidRPr="00D36802" w:rsidRDefault="00D510E3" w:rsidP="00D038CA">
            <w:pPr>
              <w:rPr>
                <w:rFonts w:ascii="Arial" w:hAnsi="Arial" w:cs="Arial"/>
                <w:lang w:val="en-GB"/>
              </w:rPr>
            </w:pPr>
            <w:r>
              <w:rPr>
                <w:rFonts w:ascii="Arial" w:hAnsi="Arial" w:cs="Arial"/>
                <w:lang w:val="en-GB"/>
              </w:rPr>
              <w:t>V1.1</w:t>
            </w:r>
          </w:p>
        </w:tc>
        <w:tc>
          <w:tcPr>
            <w:tcW w:w="803" w:type="pct"/>
          </w:tcPr>
          <w:p w:rsidR="00D510E3" w:rsidRPr="00D36802" w:rsidRDefault="00D510E3" w:rsidP="00D038CA">
            <w:pPr>
              <w:pStyle w:val="Normaltableau"/>
              <w:jc w:val="left"/>
              <w:rPr>
                <w:rFonts w:ascii="Arial" w:hAnsi="Arial" w:cs="Arial"/>
                <w:color w:val="000000"/>
                <w:sz w:val="20"/>
                <w:szCs w:val="20"/>
              </w:rPr>
            </w:pPr>
            <w:r>
              <w:rPr>
                <w:rFonts w:ascii="Arial" w:hAnsi="Arial" w:cs="Arial"/>
                <w:color w:val="000000"/>
                <w:sz w:val="20"/>
                <w:szCs w:val="20"/>
              </w:rPr>
              <w:t>25/08/2015</w:t>
            </w:r>
          </w:p>
        </w:tc>
        <w:tc>
          <w:tcPr>
            <w:tcW w:w="803" w:type="pct"/>
            <w:vAlign w:val="center"/>
          </w:tcPr>
          <w:p w:rsidR="00D510E3" w:rsidRPr="00D36802" w:rsidRDefault="00D510E3" w:rsidP="00D038CA">
            <w:pPr>
              <w:pStyle w:val="Normaltableau"/>
              <w:jc w:val="left"/>
              <w:rPr>
                <w:rFonts w:ascii="Arial" w:hAnsi="Arial" w:cs="Arial"/>
                <w:color w:val="000000"/>
                <w:sz w:val="20"/>
                <w:szCs w:val="20"/>
              </w:rPr>
            </w:pPr>
            <w:proofErr w:type="spellStart"/>
            <w:r>
              <w:rPr>
                <w:rFonts w:ascii="Arial" w:hAnsi="Arial" w:cs="Arial"/>
                <w:color w:val="000000"/>
                <w:sz w:val="20"/>
                <w:szCs w:val="20"/>
              </w:rPr>
              <w:t>T.Rouxel</w:t>
            </w:r>
            <w:proofErr w:type="spellEnd"/>
          </w:p>
        </w:tc>
        <w:tc>
          <w:tcPr>
            <w:tcW w:w="2593" w:type="pct"/>
            <w:vAlign w:val="center"/>
          </w:tcPr>
          <w:p w:rsidR="00D510E3" w:rsidRPr="00D36802" w:rsidRDefault="00D510E3" w:rsidP="00D038CA">
            <w:pPr>
              <w:pStyle w:val="Normaltableau"/>
              <w:jc w:val="left"/>
              <w:rPr>
                <w:rFonts w:ascii="Arial" w:hAnsi="Arial" w:cs="Arial"/>
                <w:color w:val="000000"/>
                <w:sz w:val="20"/>
                <w:szCs w:val="20"/>
              </w:rPr>
            </w:pPr>
            <w:r>
              <w:rPr>
                <w:rFonts w:ascii="Arial" w:hAnsi="Arial" w:cs="Arial"/>
                <w:color w:val="000000"/>
                <w:sz w:val="20"/>
                <w:szCs w:val="20"/>
              </w:rPr>
              <w:t>Spécifications fonctionnelles</w:t>
            </w:r>
          </w:p>
        </w:tc>
      </w:tr>
    </w:tbl>
    <w:p w:rsidR="002C3AC2" w:rsidRDefault="002C3AC2" w:rsidP="00C22194">
      <w:pPr>
        <w:rPr>
          <w:rFonts w:ascii="Arial" w:hAnsi="Arial" w:cs="Arial"/>
          <w:b/>
          <w:smallCaps/>
          <w:sz w:val="22"/>
          <w:szCs w:val="22"/>
        </w:rPr>
      </w:pPr>
    </w:p>
    <w:p w:rsidR="00D038CA" w:rsidRPr="00C76C68" w:rsidRDefault="00D038CA" w:rsidP="00C22194">
      <w:pPr>
        <w:rPr>
          <w:rFonts w:ascii="Arial" w:hAnsi="Arial" w:cs="Arial"/>
          <w:b/>
          <w:smallCaps/>
          <w:sz w:val="22"/>
          <w:szCs w:val="22"/>
        </w:rPr>
      </w:pPr>
    </w:p>
    <w:p w:rsidR="00865C05" w:rsidRPr="005F3AC8" w:rsidRDefault="001F704F" w:rsidP="005F3AC8">
      <w:pPr>
        <w:pStyle w:val="Titre1"/>
        <w:numPr>
          <w:ilvl w:val="0"/>
          <w:numId w:val="19"/>
        </w:numPr>
        <w:rPr>
          <w:rFonts w:ascii="Arial" w:hAnsi="Arial"/>
          <w:b/>
          <w:i w:val="0"/>
          <w:sz w:val="22"/>
          <w:szCs w:val="22"/>
        </w:rPr>
      </w:pPr>
      <w:r>
        <w:rPr>
          <w:rFonts w:ascii="Arial" w:hAnsi="Arial"/>
          <w:b/>
          <w:i w:val="0"/>
          <w:sz w:val="22"/>
          <w:szCs w:val="22"/>
        </w:rPr>
        <w:t>CADRAGE DU PROJET</w:t>
      </w:r>
    </w:p>
    <w:p w:rsidR="00D038CA" w:rsidRPr="001F704F" w:rsidRDefault="00D038CA" w:rsidP="001F704F">
      <w:pPr>
        <w:rPr>
          <w:rFonts w:ascii="Arial" w:hAnsi="Arial" w:cs="Arial"/>
          <w:b/>
          <w:color w:val="002060"/>
        </w:rPr>
      </w:pPr>
    </w:p>
    <w:p w:rsidR="003C3226" w:rsidRPr="005F3AC8" w:rsidRDefault="002275C1" w:rsidP="005F3AC8">
      <w:pPr>
        <w:pStyle w:val="Titre2"/>
        <w:numPr>
          <w:ilvl w:val="0"/>
          <w:numId w:val="20"/>
        </w:numPr>
        <w:rPr>
          <w:rFonts w:ascii="Arial" w:hAnsi="Arial" w:cs="Arial"/>
          <w:color w:val="1F497D" w:themeColor="text2"/>
          <w:sz w:val="22"/>
        </w:rPr>
      </w:pPr>
      <w:r w:rsidRPr="005F3AC8">
        <w:rPr>
          <w:rFonts w:ascii="Arial" w:hAnsi="Arial" w:cs="Arial"/>
          <w:color w:val="1F497D" w:themeColor="text2"/>
          <w:sz w:val="22"/>
        </w:rPr>
        <w:t>Contexte</w:t>
      </w:r>
      <w:r w:rsidR="00652F7F" w:rsidRPr="005F3AC8">
        <w:rPr>
          <w:rFonts w:ascii="Arial" w:hAnsi="Arial" w:cs="Arial"/>
          <w:color w:val="1F497D" w:themeColor="text2"/>
          <w:sz w:val="22"/>
        </w:rPr>
        <w:t xml:space="preserve"> et Objectifs</w:t>
      </w:r>
    </w:p>
    <w:p w:rsidR="002275C1" w:rsidRDefault="002275C1" w:rsidP="006F3A67">
      <w:pPr>
        <w:pStyle w:val="Paragraphedeliste"/>
        <w:spacing w:after="0"/>
        <w:jc w:val="both"/>
        <w:rPr>
          <w:rFonts w:ascii="Arial" w:hAnsi="Arial" w:cs="Arial"/>
          <w:b/>
          <w:color w:val="002060"/>
          <w:sz w:val="20"/>
          <w:szCs w:val="20"/>
        </w:rPr>
      </w:pPr>
    </w:p>
    <w:p w:rsidR="00D8383F" w:rsidRDefault="00D8383F" w:rsidP="006F3A67">
      <w:pPr>
        <w:autoSpaceDE w:val="0"/>
        <w:autoSpaceDN w:val="0"/>
        <w:adjustRightInd w:val="0"/>
        <w:jc w:val="both"/>
        <w:rPr>
          <w:sz w:val="22"/>
          <w:szCs w:val="22"/>
        </w:rPr>
      </w:pPr>
      <w:r>
        <w:rPr>
          <w:sz w:val="22"/>
          <w:szCs w:val="22"/>
        </w:rPr>
        <w:t>Dans le cadre du suivi réglementaire du risque global des OPCVM (voir références AMF et CESR ci-dessous), il existe deux approches : la méthode de l’eng</w:t>
      </w:r>
      <w:r w:rsidR="006F3A67">
        <w:rPr>
          <w:sz w:val="22"/>
          <w:szCs w:val="22"/>
        </w:rPr>
        <w:t>agement et la méthode de la valeur en risque (VaR).</w:t>
      </w:r>
      <w:r>
        <w:rPr>
          <w:sz w:val="22"/>
          <w:szCs w:val="22"/>
        </w:rPr>
        <w:t xml:space="preserve"> </w:t>
      </w:r>
    </w:p>
    <w:p w:rsidR="00D8383F" w:rsidRDefault="00D8383F" w:rsidP="006F3A67">
      <w:pPr>
        <w:autoSpaceDE w:val="0"/>
        <w:autoSpaceDN w:val="0"/>
        <w:adjustRightInd w:val="0"/>
        <w:jc w:val="both"/>
        <w:rPr>
          <w:sz w:val="22"/>
          <w:szCs w:val="22"/>
        </w:rPr>
      </w:pPr>
    </w:p>
    <w:p w:rsidR="00D8383F" w:rsidRDefault="00D8383F" w:rsidP="006F3A67">
      <w:pPr>
        <w:autoSpaceDE w:val="0"/>
        <w:autoSpaceDN w:val="0"/>
        <w:adjustRightInd w:val="0"/>
        <w:jc w:val="both"/>
        <w:rPr>
          <w:sz w:val="22"/>
          <w:szCs w:val="22"/>
        </w:rPr>
      </w:pPr>
      <w:r>
        <w:rPr>
          <w:sz w:val="22"/>
          <w:szCs w:val="22"/>
        </w:rPr>
        <w:t>L’instruction AMF</w:t>
      </w:r>
      <w:r w:rsidR="00F87B58">
        <w:rPr>
          <w:sz w:val="22"/>
          <w:szCs w:val="22"/>
        </w:rPr>
        <w:t>, article 16, II,</w:t>
      </w:r>
      <w:r>
        <w:rPr>
          <w:sz w:val="22"/>
          <w:szCs w:val="22"/>
        </w:rPr>
        <w:t xml:space="preserve"> dispose que « L</w:t>
      </w:r>
      <w:r w:rsidRPr="00AE54D4">
        <w:rPr>
          <w:sz w:val="22"/>
          <w:szCs w:val="22"/>
        </w:rPr>
        <w:t>orsque la société de gestion mesure le risque global d’un OPCVM qu’elle gère au moyen de la</w:t>
      </w:r>
      <w:r>
        <w:rPr>
          <w:sz w:val="22"/>
          <w:szCs w:val="22"/>
        </w:rPr>
        <w:t xml:space="preserve"> </w:t>
      </w:r>
      <w:r w:rsidRPr="00AE54D4">
        <w:rPr>
          <w:sz w:val="22"/>
          <w:szCs w:val="22"/>
        </w:rPr>
        <w:t>méthode de calcul de la valeur en risque, elle doit également surveiller régulièrement le niveau de levier</w:t>
      </w:r>
      <w:r w:rsidR="00F87B58">
        <w:rPr>
          <w:sz w:val="22"/>
          <w:szCs w:val="22"/>
        </w:rPr>
        <w:t xml:space="preserve"> de cet OPCVM » ; voir aussi CESR, article 3.8.2, p35.</w:t>
      </w:r>
    </w:p>
    <w:p w:rsidR="00D8383F" w:rsidRDefault="00D8383F" w:rsidP="006F3A67">
      <w:pPr>
        <w:jc w:val="both"/>
        <w:rPr>
          <w:sz w:val="22"/>
          <w:szCs w:val="22"/>
        </w:rPr>
      </w:pPr>
    </w:p>
    <w:p w:rsidR="00D8383F" w:rsidRDefault="00D8383F" w:rsidP="006F3A67">
      <w:pPr>
        <w:jc w:val="both"/>
        <w:rPr>
          <w:sz w:val="22"/>
          <w:szCs w:val="22"/>
        </w:rPr>
      </w:pPr>
      <w:r>
        <w:rPr>
          <w:sz w:val="22"/>
          <w:szCs w:val="22"/>
        </w:rPr>
        <w:t xml:space="preserve">Nous avons planifié d’implémenter dans SOPHIS le calcul quotidien du risque global par la méthode de l’engagement (calcul exact). La date de livraison estimée pour le calcul tenant compte des compensations et couvertures est janvier 2016. </w:t>
      </w:r>
    </w:p>
    <w:p w:rsidR="00D8383F" w:rsidRDefault="00D8383F" w:rsidP="006F3A67">
      <w:pPr>
        <w:jc w:val="both"/>
        <w:rPr>
          <w:sz w:val="22"/>
          <w:szCs w:val="22"/>
        </w:rPr>
      </w:pPr>
      <w:r>
        <w:rPr>
          <w:sz w:val="22"/>
          <w:szCs w:val="22"/>
        </w:rPr>
        <w:t xml:space="preserve"> </w:t>
      </w:r>
    </w:p>
    <w:p w:rsidR="00D8383F" w:rsidRPr="006F3A67" w:rsidRDefault="00D8383F" w:rsidP="006F3A67">
      <w:pPr>
        <w:jc w:val="both"/>
        <w:rPr>
          <w:sz w:val="22"/>
          <w:szCs w:val="22"/>
        </w:rPr>
      </w:pPr>
      <w:r w:rsidRPr="006F3A67">
        <w:rPr>
          <w:sz w:val="22"/>
          <w:szCs w:val="22"/>
        </w:rPr>
        <w:t>Le calcul du levier répond aux besoins suivants :</w:t>
      </w:r>
    </w:p>
    <w:p w:rsidR="00D8383F" w:rsidRPr="006F3A67" w:rsidRDefault="00D8383F" w:rsidP="006F3A67">
      <w:pPr>
        <w:pStyle w:val="Paragraphedeliste"/>
        <w:numPr>
          <w:ilvl w:val="0"/>
          <w:numId w:val="29"/>
        </w:numPr>
        <w:jc w:val="both"/>
        <w:rPr>
          <w:rFonts w:ascii="Times New Roman" w:eastAsia="Times New Roman" w:hAnsi="Times New Roman" w:cs="Times New Roman"/>
          <w:lang w:eastAsia="fr-FR"/>
        </w:rPr>
      </w:pPr>
      <w:r w:rsidRPr="006F3A67">
        <w:rPr>
          <w:rFonts w:ascii="Times New Roman" w:eastAsia="Times New Roman" w:hAnsi="Times New Roman" w:cs="Times New Roman"/>
          <w:lang w:eastAsia="fr-FR"/>
        </w:rPr>
        <w:t>Dès à présent, calculer quotidiennement une estimation conservatrice du risque global en vue d’un suivi quotidien dans le cadre du contrôle des risques et de la conformité (respect du ratio d’engagement de 100%), en attendant la mise en production dans SOPHIS du calcul exact.</w:t>
      </w:r>
    </w:p>
    <w:p w:rsidR="00D8383F" w:rsidRPr="006F3A67" w:rsidRDefault="00D8383F" w:rsidP="006F3A67">
      <w:pPr>
        <w:pStyle w:val="Paragraphedeliste"/>
        <w:numPr>
          <w:ilvl w:val="0"/>
          <w:numId w:val="29"/>
        </w:numPr>
        <w:jc w:val="both"/>
      </w:pPr>
      <w:r w:rsidRPr="006F3A67">
        <w:t>Vérifier rétrospectivement le respect de la limite de 100% en ratio d’engagement ;</w:t>
      </w:r>
    </w:p>
    <w:p w:rsidR="00D8383F" w:rsidRDefault="00D8383F" w:rsidP="006F3A67">
      <w:pPr>
        <w:pStyle w:val="Paragraphedeliste"/>
        <w:numPr>
          <w:ilvl w:val="0"/>
          <w:numId w:val="29"/>
        </w:numPr>
        <w:jc w:val="both"/>
      </w:pPr>
      <w:r w:rsidRPr="006F3A67">
        <w:t xml:space="preserve">Avoir à disposition le calcul du levier en préparation d’un passage à un suivi en </w:t>
      </w:r>
      <w:proofErr w:type="spellStart"/>
      <w:r w:rsidRPr="006F3A67">
        <w:t>VaR.</w:t>
      </w:r>
      <w:proofErr w:type="spellEnd"/>
    </w:p>
    <w:p w:rsidR="006F3A67" w:rsidRPr="006F3A67" w:rsidRDefault="006F3A67" w:rsidP="006F3A67">
      <w:pPr>
        <w:jc w:val="both"/>
      </w:pPr>
    </w:p>
    <w:p w:rsidR="00652F7F" w:rsidRPr="005F3AC8" w:rsidRDefault="00652F7F" w:rsidP="006F3A67">
      <w:pPr>
        <w:pStyle w:val="Titre2"/>
        <w:numPr>
          <w:ilvl w:val="0"/>
          <w:numId w:val="20"/>
        </w:numPr>
        <w:jc w:val="both"/>
        <w:rPr>
          <w:rFonts w:ascii="Arial" w:hAnsi="Arial" w:cs="Arial"/>
          <w:color w:val="1F497D" w:themeColor="text2"/>
          <w:sz w:val="22"/>
        </w:rPr>
      </w:pPr>
      <w:r w:rsidRPr="005F3AC8">
        <w:rPr>
          <w:rFonts w:ascii="Arial" w:hAnsi="Arial" w:cs="Arial"/>
          <w:color w:val="1F497D" w:themeColor="text2"/>
          <w:sz w:val="22"/>
        </w:rPr>
        <w:t>Périmètre</w:t>
      </w:r>
    </w:p>
    <w:p w:rsidR="002275C1" w:rsidRDefault="002275C1" w:rsidP="006F3A67">
      <w:pPr>
        <w:jc w:val="both"/>
        <w:rPr>
          <w:rFonts w:ascii="Arial" w:hAnsi="Arial" w:cs="Arial"/>
          <w:b/>
          <w:color w:val="002060"/>
        </w:rPr>
      </w:pPr>
    </w:p>
    <w:p w:rsidR="00652F7F" w:rsidRDefault="005F3AC8" w:rsidP="006F3A67">
      <w:pPr>
        <w:ind w:left="360"/>
        <w:jc w:val="both"/>
        <w:rPr>
          <w:rFonts w:ascii="Arial" w:eastAsiaTheme="minorHAnsi" w:hAnsi="Arial" w:cs="Arial"/>
          <w:lang w:eastAsia="en-US"/>
        </w:rPr>
      </w:pPr>
      <w:r w:rsidRPr="00D8383F">
        <w:rPr>
          <w:rFonts w:ascii="Arial" w:eastAsiaTheme="minorHAnsi" w:hAnsi="Arial" w:cs="Arial"/>
          <w:lang w:eastAsia="en-US"/>
        </w:rPr>
        <w:t>Périmètre des fonds</w:t>
      </w:r>
      <w:r w:rsidR="00652F7F" w:rsidRPr="002275C1">
        <w:rPr>
          <w:rFonts w:ascii="Arial" w:eastAsiaTheme="minorHAnsi" w:hAnsi="Arial" w:cs="Arial"/>
          <w:b/>
          <w:i/>
          <w:lang w:eastAsia="en-US"/>
        </w:rPr>
        <w:t> :</w:t>
      </w:r>
      <w:r w:rsidR="00652F7F" w:rsidRPr="002275C1">
        <w:rPr>
          <w:rFonts w:ascii="Arial" w:eastAsiaTheme="minorHAnsi" w:hAnsi="Arial" w:cs="Arial"/>
          <w:lang w:eastAsia="en-US"/>
        </w:rPr>
        <w:t xml:space="preserve"> </w:t>
      </w:r>
      <w:r w:rsidR="00D8383F">
        <w:rPr>
          <w:rFonts w:ascii="Arial" w:eastAsiaTheme="minorHAnsi" w:hAnsi="Arial" w:cs="Arial"/>
          <w:lang w:eastAsia="en-US"/>
        </w:rPr>
        <w:t>OPCVM</w:t>
      </w:r>
      <w:r w:rsidR="00F87B58">
        <w:rPr>
          <w:rFonts w:ascii="Arial" w:eastAsiaTheme="minorHAnsi" w:hAnsi="Arial" w:cs="Arial"/>
          <w:lang w:eastAsia="en-US"/>
        </w:rPr>
        <w:t xml:space="preserve"> (UCITS)</w:t>
      </w:r>
      <w:r w:rsidR="007F7BD8">
        <w:rPr>
          <w:rFonts w:ascii="Arial" w:eastAsiaTheme="minorHAnsi" w:hAnsi="Arial" w:cs="Arial"/>
          <w:lang w:eastAsia="en-US"/>
        </w:rPr>
        <w:t xml:space="preserve"> et mandats.</w:t>
      </w:r>
    </w:p>
    <w:p w:rsidR="00652F7F" w:rsidRDefault="00652F7F" w:rsidP="006F3A67">
      <w:pPr>
        <w:ind w:left="360"/>
        <w:jc w:val="both"/>
        <w:rPr>
          <w:rFonts w:ascii="Arial" w:eastAsiaTheme="minorHAnsi" w:hAnsi="Arial" w:cs="Arial"/>
          <w:lang w:eastAsia="en-US"/>
        </w:rPr>
      </w:pPr>
      <w:r w:rsidRPr="00D8383F">
        <w:rPr>
          <w:rFonts w:ascii="Arial" w:eastAsiaTheme="minorHAnsi" w:hAnsi="Arial" w:cs="Arial"/>
          <w:lang w:eastAsia="en-US"/>
        </w:rPr>
        <w:t>Utilisateurs finals :</w:t>
      </w:r>
      <w:r w:rsidR="00D8383F">
        <w:rPr>
          <w:rFonts w:ascii="Arial" w:eastAsiaTheme="minorHAnsi" w:hAnsi="Arial" w:cs="Arial"/>
          <w:lang w:eastAsia="en-US"/>
        </w:rPr>
        <w:t xml:space="preserve"> </w:t>
      </w:r>
      <w:r>
        <w:rPr>
          <w:rFonts w:ascii="Arial" w:eastAsiaTheme="minorHAnsi" w:hAnsi="Arial" w:cs="Arial"/>
          <w:lang w:eastAsia="en-US"/>
        </w:rPr>
        <w:t>Risques</w:t>
      </w:r>
      <w:r w:rsidR="005F3AC8">
        <w:rPr>
          <w:rFonts w:ascii="Arial" w:eastAsiaTheme="minorHAnsi" w:hAnsi="Arial" w:cs="Arial"/>
          <w:lang w:eastAsia="en-US"/>
        </w:rPr>
        <w:t>, Gestion</w:t>
      </w:r>
      <w:r w:rsidR="00D8383F">
        <w:rPr>
          <w:rFonts w:ascii="Arial" w:eastAsiaTheme="minorHAnsi" w:hAnsi="Arial" w:cs="Arial"/>
          <w:lang w:eastAsia="en-US"/>
        </w:rPr>
        <w:t>, Conformité</w:t>
      </w:r>
    </w:p>
    <w:p w:rsidR="00652F7F" w:rsidRPr="002275C1" w:rsidRDefault="00652F7F" w:rsidP="006F3A67">
      <w:pPr>
        <w:ind w:left="360"/>
        <w:jc w:val="both"/>
        <w:rPr>
          <w:rFonts w:ascii="Arial" w:eastAsiaTheme="minorHAnsi" w:hAnsi="Arial" w:cs="Arial"/>
          <w:lang w:eastAsia="en-US"/>
        </w:rPr>
      </w:pPr>
    </w:p>
    <w:p w:rsidR="002C3AC2" w:rsidRDefault="002C3AC2" w:rsidP="006F3A67">
      <w:pPr>
        <w:jc w:val="both"/>
        <w:rPr>
          <w:rFonts w:ascii="Arial" w:hAnsi="Arial" w:cs="Arial"/>
          <w:b/>
          <w:smallCaps/>
        </w:rPr>
      </w:pPr>
    </w:p>
    <w:p w:rsidR="001F704F" w:rsidRPr="005F3AC8" w:rsidRDefault="001F704F" w:rsidP="006F3A67">
      <w:pPr>
        <w:jc w:val="both"/>
        <w:rPr>
          <w:rFonts w:ascii="Arial" w:hAnsi="Arial" w:cs="Arial"/>
          <w:b/>
          <w:smallCaps/>
        </w:rPr>
      </w:pPr>
    </w:p>
    <w:p w:rsidR="00C22194" w:rsidRPr="005F3AC8" w:rsidRDefault="005F3AC8" w:rsidP="006F3A67">
      <w:pPr>
        <w:pStyle w:val="Titre1"/>
        <w:numPr>
          <w:ilvl w:val="0"/>
          <w:numId w:val="19"/>
        </w:numPr>
        <w:jc w:val="both"/>
        <w:rPr>
          <w:rFonts w:ascii="Arial" w:hAnsi="Arial"/>
          <w:b/>
          <w:i w:val="0"/>
          <w:sz w:val="22"/>
          <w:szCs w:val="22"/>
        </w:rPr>
      </w:pPr>
      <w:r w:rsidRPr="005F3AC8">
        <w:rPr>
          <w:rFonts w:ascii="Arial" w:hAnsi="Arial"/>
          <w:b/>
          <w:i w:val="0"/>
          <w:sz w:val="22"/>
          <w:szCs w:val="22"/>
        </w:rPr>
        <w:t>DESCRIPTION DES BESOINS</w:t>
      </w:r>
    </w:p>
    <w:p w:rsidR="002275C1" w:rsidRPr="005F3AC8" w:rsidRDefault="00652F7F" w:rsidP="006F3A67">
      <w:pPr>
        <w:pStyle w:val="Titre2"/>
        <w:numPr>
          <w:ilvl w:val="0"/>
          <w:numId w:val="22"/>
        </w:numPr>
        <w:jc w:val="both"/>
        <w:rPr>
          <w:rFonts w:ascii="Arial" w:hAnsi="Arial" w:cs="Arial"/>
          <w:color w:val="1F497D" w:themeColor="text2"/>
          <w:sz w:val="22"/>
        </w:rPr>
      </w:pPr>
      <w:r w:rsidRPr="005F3AC8">
        <w:rPr>
          <w:rFonts w:ascii="Arial" w:hAnsi="Arial" w:cs="Arial"/>
          <w:color w:val="1F497D" w:themeColor="text2"/>
          <w:sz w:val="22"/>
        </w:rPr>
        <w:t>Besoins et contraintes</w:t>
      </w:r>
    </w:p>
    <w:p w:rsidR="007F7BD8" w:rsidRDefault="007F7BD8" w:rsidP="006F3A67">
      <w:pPr>
        <w:jc w:val="both"/>
        <w:rPr>
          <w:sz w:val="22"/>
          <w:szCs w:val="22"/>
        </w:rPr>
      </w:pPr>
    </w:p>
    <w:p w:rsidR="00BA3E18" w:rsidRPr="007F7BD8" w:rsidRDefault="007F7BD8" w:rsidP="006F3A67">
      <w:pPr>
        <w:jc w:val="both"/>
        <w:rPr>
          <w:sz w:val="22"/>
          <w:szCs w:val="22"/>
        </w:rPr>
      </w:pPr>
      <w:r w:rsidRPr="007F7BD8">
        <w:rPr>
          <w:sz w:val="22"/>
          <w:szCs w:val="22"/>
        </w:rPr>
        <w:t xml:space="preserve">Le niveau de levier doit être </w:t>
      </w:r>
      <w:r>
        <w:rPr>
          <w:sz w:val="22"/>
          <w:szCs w:val="22"/>
        </w:rPr>
        <w:t xml:space="preserve">calculé quotidiennement sur tous les fonds UCITS et mandats. Il doit être inclus dans les rapports quotidiens UCITS.  </w:t>
      </w:r>
    </w:p>
    <w:p w:rsidR="005F3AC8" w:rsidRDefault="00601C50" w:rsidP="006F3A67">
      <w:pPr>
        <w:tabs>
          <w:tab w:val="left" w:pos="8655"/>
        </w:tabs>
        <w:ind w:left="360"/>
        <w:jc w:val="both"/>
        <w:rPr>
          <w:rFonts w:ascii="Arial" w:hAnsi="Arial" w:cs="Arial"/>
        </w:rPr>
      </w:pPr>
      <w:r>
        <w:rPr>
          <w:rFonts w:ascii="Arial" w:hAnsi="Arial" w:cs="Arial"/>
        </w:rPr>
        <w:tab/>
      </w:r>
    </w:p>
    <w:p w:rsidR="003C2DA7" w:rsidRPr="005F3AC8" w:rsidRDefault="003712C5" w:rsidP="006F3A67">
      <w:pPr>
        <w:pStyle w:val="Titre2"/>
        <w:numPr>
          <w:ilvl w:val="0"/>
          <w:numId w:val="22"/>
        </w:numPr>
        <w:jc w:val="both"/>
        <w:rPr>
          <w:rFonts w:ascii="Arial" w:hAnsi="Arial" w:cs="Arial"/>
          <w:color w:val="1F497D" w:themeColor="text2"/>
          <w:sz w:val="22"/>
        </w:rPr>
      </w:pPr>
      <w:r>
        <w:rPr>
          <w:rFonts w:ascii="Arial" w:hAnsi="Arial" w:cs="Arial"/>
          <w:color w:val="1F497D" w:themeColor="text2"/>
          <w:sz w:val="22"/>
        </w:rPr>
        <w:t>Spécification</w:t>
      </w:r>
    </w:p>
    <w:p w:rsidR="003C2DA7" w:rsidRDefault="003C2DA7" w:rsidP="006F3A67">
      <w:pPr>
        <w:ind w:left="360"/>
        <w:jc w:val="both"/>
        <w:rPr>
          <w:rFonts w:ascii="Arial" w:hAnsi="Arial" w:cs="Arial"/>
        </w:rPr>
      </w:pPr>
    </w:p>
    <w:p w:rsidR="003C2DA7" w:rsidRDefault="003C2DA7" w:rsidP="006F3A67">
      <w:pPr>
        <w:ind w:left="360"/>
        <w:jc w:val="both"/>
        <w:rPr>
          <w:rFonts w:ascii="Arial" w:hAnsi="Arial" w:cs="Arial"/>
        </w:rPr>
      </w:pPr>
    </w:p>
    <w:p w:rsidR="00D8383F" w:rsidRDefault="00D8383F" w:rsidP="006F3A67">
      <w:pPr>
        <w:autoSpaceDE w:val="0"/>
        <w:autoSpaceDN w:val="0"/>
        <w:adjustRightInd w:val="0"/>
        <w:jc w:val="both"/>
        <w:rPr>
          <w:sz w:val="22"/>
          <w:szCs w:val="22"/>
        </w:rPr>
      </w:pPr>
      <w:r>
        <w:rPr>
          <w:sz w:val="22"/>
          <w:szCs w:val="22"/>
        </w:rPr>
        <w:t xml:space="preserve">L’instruction </w:t>
      </w:r>
      <w:r w:rsidR="00F87B58">
        <w:rPr>
          <w:sz w:val="22"/>
          <w:szCs w:val="22"/>
        </w:rPr>
        <w:t xml:space="preserve">AMF </w:t>
      </w:r>
      <w:r>
        <w:rPr>
          <w:sz w:val="22"/>
          <w:szCs w:val="22"/>
        </w:rPr>
        <w:t>précise que « L</w:t>
      </w:r>
      <w:r w:rsidRPr="00AE54D4">
        <w:rPr>
          <w:sz w:val="22"/>
          <w:szCs w:val="22"/>
        </w:rPr>
        <w:t xml:space="preserve">e niveau </w:t>
      </w:r>
      <w:r>
        <w:rPr>
          <w:sz w:val="22"/>
          <w:szCs w:val="22"/>
        </w:rPr>
        <w:t xml:space="preserve">de levier indicatif de l’OPCVM est </w:t>
      </w:r>
      <w:r w:rsidRPr="00AE54D4">
        <w:rPr>
          <w:sz w:val="22"/>
          <w:szCs w:val="22"/>
        </w:rPr>
        <w:t>calculé comme la somme des nominaux des positions sur</w:t>
      </w:r>
      <w:r>
        <w:rPr>
          <w:sz w:val="22"/>
          <w:szCs w:val="22"/>
        </w:rPr>
        <w:t xml:space="preserve"> </w:t>
      </w:r>
      <w:r w:rsidRPr="00AE54D4">
        <w:rPr>
          <w:sz w:val="22"/>
          <w:szCs w:val="22"/>
        </w:rPr>
        <w:t>les contrats financiers utilisés</w:t>
      </w:r>
      <w:r w:rsidR="00F87B58">
        <w:rPr>
          <w:sz w:val="22"/>
          <w:szCs w:val="22"/>
        </w:rPr>
        <w:t> » (voir article 16, II).</w:t>
      </w:r>
    </w:p>
    <w:p w:rsidR="00974971" w:rsidRDefault="00974971" w:rsidP="006F3A67">
      <w:pPr>
        <w:autoSpaceDE w:val="0"/>
        <w:autoSpaceDN w:val="0"/>
        <w:adjustRightInd w:val="0"/>
        <w:jc w:val="both"/>
        <w:rPr>
          <w:sz w:val="22"/>
          <w:szCs w:val="22"/>
        </w:rPr>
      </w:pPr>
    </w:p>
    <w:p w:rsidR="00974971" w:rsidRPr="00974971" w:rsidRDefault="00974971" w:rsidP="006F3A67">
      <w:pPr>
        <w:autoSpaceDE w:val="0"/>
        <w:autoSpaceDN w:val="0"/>
        <w:adjustRightInd w:val="0"/>
        <w:jc w:val="both"/>
        <w:rPr>
          <w:sz w:val="22"/>
          <w:szCs w:val="22"/>
        </w:rPr>
      </w:pPr>
      <w:r w:rsidRPr="00974971">
        <w:rPr>
          <w:sz w:val="22"/>
          <w:szCs w:val="22"/>
        </w:rPr>
        <w:t>Les étapes du calcul sont les suivantes :</w:t>
      </w:r>
    </w:p>
    <w:p w:rsidR="00974971" w:rsidRDefault="00974971" w:rsidP="006F3A67">
      <w:pPr>
        <w:pStyle w:val="Paragraphedeliste"/>
        <w:numPr>
          <w:ilvl w:val="0"/>
          <w:numId w:val="24"/>
        </w:numPr>
        <w:autoSpaceDE w:val="0"/>
        <w:autoSpaceDN w:val="0"/>
        <w:adjustRightInd w:val="0"/>
        <w:jc w:val="both"/>
        <w:rPr>
          <w:rFonts w:ascii="Times New Roman" w:hAnsi="Times New Roman" w:cs="Times New Roman"/>
        </w:rPr>
      </w:pPr>
      <w:r w:rsidRPr="00974971">
        <w:rPr>
          <w:rFonts w:ascii="Times New Roman" w:hAnsi="Times New Roman" w:cs="Times New Roman"/>
        </w:rPr>
        <w:t xml:space="preserve">Pour chaque </w:t>
      </w:r>
      <w:r>
        <w:rPr>
          <w:rFonts w:ascii="Times New Roman" w:hAnsi="Times New Roman" w:cs="Times New Roman"/>
        </w:rPr>
        <w:t>ligne de contrat financier (</w:t>
      </w:r>
      <w:proofErr w:type="spellStart"/>
      <w:r>
        <w:rPr>
          <w:rFonts w:ascii="Times New Roman" w:hAnsi="Times New Roman" w:cs="Times New Roman"/>
        </w:rPr>
        <w:t>derivative</w:t>
      </w:r>
      <w:proofErr w:type="spellEnd"/>
      <w:r>
        <w:rPr>
          <w:rFonts w:ascii="Times New Roman" w:hAnsi="Times New Roman" w:cs="Times New Roman"/>
        </w:rPr>
        <w:t xml:space="preserve"> instrument), calculer le montant de </w:t>
      </w:r>
      <w:proofErr w:type="spellStart"/>
      <w:r w:rsidR="00130557">
        <w:rPr>
          <w:rFonts w:ascii="Times New Roman" w:hAnsi="Times New Roman" w:cs="Times New Roman"/>
        </w:rPr>
        <w:t>L</w:t>
      </w:r>
      <w:r>
        <w:rPr>
          <w:rFonts w:ascii="Times New Roman" w:hAnsi="Times New Roman" w:cs="Times New Roman"/>
        </w:rPr>
        <w:t>everage_</w:t>
      </w:r>
      <w:r w:rsidR="003F452C">
        <w:rPr>
          <w:rFonts w:ascii="Times New Roman" w:hAnsi="Times New Roman" w:cs="Times New Roman"/>
        </w:rPr>
        <w:t>A</w:t>
      </w:r>
      <w:r w:rsidR="00130557">
        <w:rPr>
          <w:rFonts w:ascii="Times New Roman" w:hAnsi="Times New Roman" w:cs="Times New Roman"/>
        </w:rPr>
        <w:t>mount</w:t>
      </w:r>
      <w:proofErr w:type="spellEnd"/>
      <w:r w:rsidR="003F452C">
        <w:rPr>
          <w:rFonts w:ascii="Times New Roman" w:hAnsi="Times New Roman" w:cs="Times New Roman"/>
        </w:rPr>
        <w:t xml:space="preserve"> en euros, tel que spécifié dans le</w:t>
      </w:r>
      <w:r w:rsidR="00DC2BE9">
        <w:rPr>
          <w:rFonts w:ascii="Times New Roman" w:hAnsi="Times New Roman" w:cs="Times New Roman"/>
        </w:rPr>
        <w:t xml:space="preserve"> </w:t>
      </w:r>
      <w:r w:rsidR="00DC2BE9" w:rsidRPr="00DC2BE9">
        <w:rPr>
          <w:rFonts w:ascii="Times New Roman" w:hAnsi="Times New Roman" w:cs="Times New Roman"/>
          <w:b/>
        </w:rPr>
        <w:t>tableau 1</w:t>
      </w:r>
      <w:r w:rsidR="00DC2BE9">
        <w:rPr>
          <w:rFonts w:ascii="Times New Roman" w:hAnsi="Times New Roman" w:cs="Times New Roman"/>
        </w:rPr>
        <w:t xml:space="preserve"> </w:t>
      </w:r>
      <w:r>
        <w:rPr>
          <w:rFonts w:ascii="Times New Roman" w:hAnsi="Times New Roman" w:cs="Times New Roman"/>
        </w:rPr>
        <w:t xml:space="preserve">ci-dessous par type d’instruments dérivé. Le principe général est de prendre le nominal (en valeur absolue) ou un équivalent du nominal. </w:t>
      </w:r>
      <w:r w:rsidR="001E3BD7">
        <w:rPr>
          <w:rFonts w:ascii="Times New Roman" w:hAnsi="Times New Roman" w:cs="Times New Roman"/>
        </w:rPr>
        <w:t xml:space="preserve">Pour les options, le delta est forcé à 1. Les montants en devises sont convertis en EUR. </w:t>
      </w:r>
    </w:p>
    <w:p w:rsidR="00974971" w:rsidRDefault="00974971" w:rsidP="006F3A67">
      <w:pPr>
        <w:pStyle w:val="Paragraphedeliste"/>
        <w:autoSpaceDE w:val="0"/>
        <w:autoSpaceDN w:val="0"/>
        <w:adjustRightInd w:val="0"/>
        <w:jc w:val="both"/>
        <w:rPr>
          <w:rFonts w:ascii="Times New Roman" w:hAnsi="Times New Roman" w:cs="Times New Roman"/>
        </w:rPr>
      </w:pPr>
      <w:r>
        <w:rPr>
          <w:rFonts w:ascii="Times New Roman" w:hAnsi="Times New Roman" w:cs="Times New Roman"/>
        </w:rPr>
        <w:t xml:space="preserve">N.B. </w:t>
      </w:r>
      <w:r w:rsidR="00130557">
        <w:rPr>
          <w:rFonts w:ascii="Times New Roman" w:hAnsi="Times New Roman" w:cs="Times New Roman"/>
        </w:rPr>
        <w:t>Le calcul ne s’applique qu’aux contrats financiers (</w:t>
      </w:r>
      <w:proofErr w:type="spellStart"/>
      <w:r w:rsidR="00130557">
        <w:rPr>
          <w:rFonts w:ascii="Times New Roman" w:hAnsi="Times New Roman" w:cs="Times New Roman"/>
        </w:rPr>
        <w:t>derivatives</w:t>
      </w:r>
      <w:proofErr w:type="spellEnd"/>
      <w:r w:rsidR="00130557">
        <w:rPr>
          <w:rFonts w:ascii="Times New Roman" w:hAnsi="Times New Roman" w:cs="Times New Roman"/>
        </w:rPr>
        <w:t>).</w:t>
      </w:r>
    </w:p>
    <w:p w:rsidR="00974971" w:rsidRDefault="00974971" w:rsidP="006F3A67">
      <w:pPr>
        <w:pStyle w:val="Paragraphedeliste"/>
        <w:numPr>
          <w:ilvl w:val="0"/>
          <w:numId w:val="24"/>
        </w:numPr>
        <w:autoSpaceDE w:val="0"/>
        <w:autoSpaceDN w:val="0"/>
        <w:adjustRightInd w:val="0"/>
        <w:jc w:val="both"/>
        <w:rPr>
          <w:rFonts w:ascii="Times New Roman" w:hAnsi="Times New Roman" w:cs="Times New Roman"/>
        </w:rPr>
      </w:pPr>
      <w:r>
        <w:rPr>
          <w:rFonts w:ascii="Times New Roman" w:hAnsi="Times New Roman" w:cs="Times New Roman"/>
        </w:rPr>
        <w:t>Au niveau portefeuille, somme</w:t>
      </w:r>
      <w:r w:rsidR="00130557">
        <w:rPr>
          <w:rFonts w:ascii="Times New Roman" w:hAnsi="Times New Roman" w:cs="Times New Roman"/>
        </w:rPr>
        <w:t xml:space="preserve">r les valeurs absolues des montants </w:t>
      </w:r>
      <w:proofErr w:type="spellStart"/>
      <w:r w:rsidR="00130557">
        <w:rPr>
          <w:rFonts w:ascii="Times New Roman" w:hAnsi="Times New Roman" w:cs="Times New Roman"/>
        </w:rPr>
        <w:t>Leverage_amount</w:t>
      </w:r>
      <w:proofErr w:type="spellEnd"/>
      <w:r>
        <w:rPr>
          <w:rFonts w:ascii="Times New Roman" w:hAnsi="Times New Roman" w:cs="Times New Roman"/>
        </w:rPr>
        <w:t xml:space="preserve"> </w:t>
      </w:r>
      <w:r w:rsidR="00130557">
        <w:rPr>
          <w:rFonts w:ascii="Times New Roman" w:hAnsi="Times New Roman" w:cs="Times New Roman"/>
        </w:rPr>
        <w:t xml:space="preserve">sur toutes les lignes de contrats financiers. On obtient </w:t>
      </w:r>
      <w:proofErr w:type="spellStart"/>
      <w:r w:rsidR="00130557">
        <w:rPr>
          <w:rFonts w:ascii="Times New Roman" w:hAnsi="Times New Roman" w:cs="Times New Roman"/>
        </w:rPr>
        <w:t>Leverage_Amount</w:t>
      </w:r>
      <w:proofErr w:type="spellEnd"/>
      <w:r w:rsidR="00130557">
        <w:rPr>
          <w:rFonts w:ascii="Times New Roman" w:hAnsi="Times New Roman" w:cs="Times New Roman"/>
        </w:rPr>
        <w:t xml:space="preserve"> en EUR au niveau du portefeuille.</w:t>
      </w:r>
    </w:p>
    <w:p w:rsidR="00130557" w:rsidRDefault="00130557" w:rsidP="006F3A67">
      <w:pPr>
        <w:pStyle w:val="Paragraphedeliste"/>
        <w:numPr>
          <w:ilvl w:val="0"/>
          <w:numId w:val="24"/>
        </w:numPr>
        <w:autoSpaceDE w:val="0"/>
        <w:autoSpaceDN w:val="0"/>
        <w:adjustRightInd w:val="0"/>
        <w:jc w:val="both"/>
        <w:rPr>
          <w:rFonts w:ascii="Times New Roman" w:hAnsi="Times New Roman" w:cs="Times New Roman"/>
        </w:rPr>
      </w:pPr>
      <w:r>
        <w:rPr>
          <w:rFonts w:ascii="Times New Roman" w:hAnsi="Times New Roman" w:cs="Times New Roman"/>
        </w:rPr>
        <w:t xml:space="preserve">Diviser ce montant par la NAV pour obtenir le levier en % de la NAV (champ à intituler </w:t>
      </w:r>
      <w:r w:rsidR="003F452C">
        <w:rPr>
          <w:rFonts w:ascii="Times New Roman" w:hAnsi="Times New Roman" w:cs="Times New Roman"/>
        </w:rPr>
        <w:t>« </w:t>
      </w:r>
      <w:proofErr w:type="spellStart"/>
      <w:r>
        <w:rPr>
          <w:rFonts w:ascii="Times New Roman" w:hAnsi="Times New Roman" w:cs="Times New Roman"/>
        </w:rPr>
        <w:t>Leverage</w:t>
      </w:r>
      <w:proofErr w:type="spellEnd"/>
      <w:r>
        <w:rPr>
          <w:rFonts w:ascii="Times New Roman" w:hAnsi="Times New Roman" w:cs="Times New Roman"/>
        </w:rPr>
        <w:t xml:space="preserve"> (</w:t>
      </w:r>
      <w:proofErr w:type="spellStart"/>
      <w:r>
        <w:rPr>
          <w:rFonts w:ascii="Times New Roman" w:hAnsi="Times New Roman" w:cs="Times New Roman"/>
        </w:rPr>
        <w:t>Notional</w:t>
      </w:r>
      <w:proofErr w:type="spellEnd"/>
      <w:r>
        <w:rPr>
          <w:rFonts w:ascii="Times New Roman" w:hAnsi="Times New Roman" w:cs="Times New Roman"/>
        </w:rPr>
        <w:t>) in % of NAV</w:t>
      </w:r>
      <w:r w:rsidR="003F452C">
        <w:rPr>
          <w:rFonts w:ascii="Times New Roman" w:hAnsi="Times New Roman" w:cs="Times New Roman"/>
        </w:rPr>
        <w:t> »)</w:t>
      </w:r>
      <w:r>
        <w:rPr>
          <w:rFonts w:ascii="Times New Roman" w:hAnsi="Times New Roman" w:cs="Times New Roman"/>
        </w:rPr>
        <w:t>.</w:t>
      </w:r>
    </w:p>
    <w:p w:rsidR="00130557" w:rsidRDefault="00130557" w:rsidP="006F3A67">
      <w:pPr>
        <w:autoSpaceDE w:val="0"/>
        <w:autoSpaceDN w:val="0"/>
        <w:adjustRightInd w:val="0"/>
        <w:jc w:val="both"/>
      </w:pPr>
    </w:p>
    <w:p w:rsidR="00130557" w:rsidRPr="00681E8E" w:rsidRDefault="00130557" w:rsidP="006F3A67">
      <w:pPr>
        <w:autoSpaceDE w:val="0"/>
        <w:autoSpaceDN w:val="0"/>
        <w:adjustRightInd w:val="0"/>
        <w:jc w:val="both"/>
        <w:rPr>
          <w:b/>
          <w:sz w:val="22"/>
          <w:szCs w:val="22"/>
          <w:u w:val="single"/>
        </w:rPr>
      </w:pPr>
      <w:proofErr w:type="spellStart"/>
      <w:r w:rsidRPr="00681E8E">
        <w:rPr>
          <w:b/>
          <w:sz w:val="22"/>
          <w:szCs w:val="22"/>
          <w:u w:val="single"/>
        </w:rPr>
        <w:t>Leverage_amount</w:t>
      </w:r>
      <w:proofErr w:type="spellEnd"/>
      <w:r w:rsidRPr="00681E8E">
        <w:rPr>
          <w:b/>
          <w:sz w:val="22"/>
          <w:szCs w:val="22"/>
          <w:u w:val="single"/>
        </w:rPr>
        <w:t xml:space="preserve"> par type d’instrument :</w:t>
      </w:r>
    </w:p>
    <w:p w:rsidR="00974971" w:rsidRDefault="00130557" w:rsidP="006F3A67">
      <w:pPr>
        <w:autoSpaceDE w:val="0"/>
        <w:autoSpaceDN w:val="0"/>
        <w:adjustRightInd w:val="0"/>
        <w:jc w:val="both"/>
        <w:rPr>
          <w:sz w:val="22"/>
          <w:szCs w:val="22"/>
        </w:rPr>
      </w:pPr>
      <w:r>
        <w:rPr>
          <w:sz w:val="22"/>
          <w:szCs w:val="22"/>
        </w:rPr>
        <w:t>N.B.</w:t>
      </w:r>
    </w:p>
    <w:p w:rsidR="00130557" w:rsidRDefault="00130557" w:rsidP="006F3A67">
      <w:pPr>
        <w:autoSpaceDE w:val="0"/>
        <w:autoSpaceDN w:val="0"/>
        <w:adjustRightInd w:val="0"/>
        <w:jc w:val="both"/>
        <w:rPr>
          <w:sz w:val="22"/>
          <w:szCs w:val="22"/>
        </w:rPr>
      </w:pPr>
      <w:r>
        <w:rPr>
          <w:sz w:val="22"/>
          <w:szCs w:val="22"/>
        </w:rPr>
        <w:t>1. Prendre la valeur absolue du montant indiqué ci-dessous</w:t>
      </w:r>
    </w:p>
    <w:p w:rsidR="00130557" w:rsidRPr="00974971" w:rsidRDefault="001E3BD7" w:rsidP="006F3A67">
      <w:pPr>
        <w:autoSpaceDE w:val="0"/>
        <w:autoSpaceDN w:val="0"/>
        <w:adjustRightInd w:val="0"/>
        <w:jc w:val="both"/>
        <w:rPr>
          <w:sz w:val="22"/>
          <w:szCs w:val="22"/>
        </w:rPr>
      </w:pPr>
      <w:r>
        <w:rPr>
          <w:sz w:val="22"/>
          <w:szCs w:val="22"/>
        </w:rPr>
        <w:t>2. Si le montant est exprimé en devise autre que l’euro</w:t>
      </w:r>
      <w:r w:rsidR="00130557">
        <w:rPr>
          <w:sz w:val="22"/>
          <w:szCs w:val="22"/>
        </w:rPr>
        <w:t>, convertir ce montant en EUR en utilisant le taux de change du jour.</w:t>
      </w:r>
    </w:p>
    <w:p w:rsidR="007F7BD8" w:rsidRDefault="007F7BD8" w:rsidP="006F3A67">
      <w:pPr>
        <w:autoSpaceDE w:val="0"/>
        <w:autoSpaceDN w:val="0"/>
        <w:adjustRightInd w:val="0"/>
        <w:jc w:val="both"/>
        <w:rPr>
          <w:sz w:val="22"/>
          <w:szCs w:val="22"/>
        </w:rPr>
      </w:pPr>
    </w:p>
    <w:p w:rsidR="00681E8E" w:rsidRDefault="006F3A67" w:rsidP="006F3A67">
      <w:pPr>
        <w:autoSpaceDE w:val="0"/>
        <w:autoSpaceDN w:val="0"/>
        <w:adjustRightInd w:val="0"/>
        <w:jc w:val="both"/>
        <w:rPr>
          <w:sz w:val="22"/>
          <w:szCs w:val="22"/>
        </w:rPr>
      </w:pPr>
      <w:r>
        <w:rPr>
          <w:sz w:val="22"/>
          <w:szCs w:val="22"/>
        </w:rPr>
        <w:t>Voit tableau 1 page suivante.</w:t>
      </w:r>
    </w:p>
    <w:p w:rsidR="006F3A67" w:rsidRPr="00974971" w:rsidRDefault="006F3A67" w:rsidP="006F3A67">
      <w:pPr>
        <w:autoSpaceDE w:val="0"/>
        <w:autoSpaceDN w:val="0"/>
        <w:adjustRightInd w:val="0"/>
        <w:jc w:val="both"/>
        <w:rPr>
          <w:sz w:val="22"/>
          <w:szCs w:val="22"/>
        </w:rPr>
      </w:pPr>
    </w:p>
    <w:p w:rsidR="00DC2BE9" w:rsidRDefault="00DC2BE9" w:rsidP="006F3A67">
      <w:pPr>
        <w:autoSpaceDE w:val="0"/>
        <w:autoSpaceDN w:val="0"/>
        <w:adjustRightInd w:val="0"/>
        <w:jc w:val="both"/>
        <w:rPr>
          <w:sz w:val="22"/>
          <w:szCs w:val="22"/>
        </w:rPr>
      </w:pPr>
    </w:p>
    <w:p w:rsidR="00DC2BE9" w:rsidRDefault="00DC2BE9" w:rsidP="006F3A67">
      <w:pPr>
        <w:pStyle w:val="Titre1"/>
        <w:numPr>
          <w:ilvl w:val="0"/>
          <w:numId w:val="19"/>
        </w:numPr>
        <w:jc w:val="both"/>
        <w:rPr>
          <w:rFonts w:ascii="Arial" w:hAnsi="Arial"/>
          <w:b/>
          <w:i w:val="0"/>
          <w:sz w:val="22"/>
          <w:szCs w:val="22"/>
        </w:rPr>
      </w:pPr>
      <w:r>
        <w:rPr>
          <w:rFonts w:ascii="Arial" w:hAnsi="Arial"/>
          <w:b/>
          <w:i w:val="0"/>
          <w:sz w:val="22"/>
          <w:szCs w:val="22"/>
        </w:rPr>
        <w:t>REFERENCES</w:t>
      </w:r>
    </w:p>
    <w:p w:rsidR="00DC2BE9" w:rsidRDefault="00DC2BE9" w:rsidP="006F3A67">
      <w:pPr>
        <w:jc w:val="both"/>
      </w:pPr>
    </w:p>
    <w:p w:rsidR="00DC2BE9" w:rsidRDefault="00DC2BE9" w:rsidP="006F3A67">
      <w:pPr>
        <w:ind w:left="360"/>
        <w:jc w:val="both"/>
        <w:rPr>
          <w:sz w:val="22"/>
          <w:szCs w:val="22"/>
        </w:rPr>
      </w:pPr>
      <w:r w:rsidRPr="00CA5165">
        <w:rPr>
          <w:sz w:val="22"/>
          <w:szCs w:val="22"/>
        </w:rPr>
        <w:t>AMF : Instruction AMF n° 2011-15 - Modalités de calcul du risque global des OPCVM</w:t>
      </w:r>
      <w:r>
        <w:rPr>
          <w:sz w:val="22"/>
          <w:szCs w:val="22"/>
        </w:rPr>
        <w:t>.</w:t>
      </w:r>
    </w:p>
    <w:p w:rsidR="00DC2BE9" w:rsidRPr="00F87B58" w:rsidRDefault="00DC2BE9" w:rsidP="006F3A67">
      <w:pPr>
        <w:ind w:left="360"/>
        <w:jc w:val="both"/>
        <w:rPr>
          <w:sz w:val="22"/>
          <w:szCs w:val="22"/>
          <w:lang w:val="en-US"/>
        </w:rPr>
      </w:pPr>
      <w:proofErr w:type="gramStart"/>
      <w:r w:rsidRPr="003F452C">
        <w:rPr>
          <w:sz w:val="22"/>
          <w:szCs w:val="22"/>
          <w:lang w:val="en-US"/>
        </w:rPr>
        <w:t>CESR :</w:t>
      </w:r>
      <w:proofErr w:type="gramEnd"/>
      <w:r w:rsidRPr="003F452C">
        <w:rPr>
          <w:sz w:val="22"/>
          <w:szCs w:val="22"/>
          <w:lang w:val="en-US"/>
        </w:rPr>
        <w:t xml:space="preserve"> CESR’s Guidelines on </w:t>
      </w:r>
      <w:r w:rsidRPr="00F87B58">
        <w:rPr>
          <w:sz w:val="22"/>
          <w:szCs w:val="22"/>
          <w:lang w:val="en-US"/>
        </w:rPr>
        <w:t xml:space="preserve">Risk Measurement and </w:t>
      </w:r>
      <w:r>
        <w:rPr>
          <w:sz w:val="22"/>
          <w:szCs w:val="22"/>
          <w:lang w:val="en-US"/>
        </w:rPr>
        <w:t>the Calculation of Global exposure and Counterparty Risk for UCITS, 28 July 2010.</w:t>
      </w:r>
    </w:p>
    <w:p w:rsidR="00DC2BE9" w:rsidRPr="00F87B58" w:rsidRDefault="00DC2BE9" w:rsidP="006F3A67">
      <w:pPr>
        <w:jc w:val="both"/>
        <w:rPr>
          <w:rFonts w:ascii="Arial" w:hAnsi="Arial" w:cs="Arial"/>
          <w:lang w:val="en-US"/>
        </w:rPr>
      </w:pPr>
    </w:p>
    <w:p w:rsidR="00DC2BE9" w:rsidRPr="00F87B58" w:rsidRDefault="00DC2BE9" w:rsidP="006F3A67">
      <w:pPr>
        <w:ind w:left="360"/>
        <w:jc w:val="both"/>
        <w:rPr>
          <w:rFonts w:ascii="Arial" w:hAnsi="Arial" w:cs="Arial"/>
          <w:lang w:val="en-US"/>
        </w:rPr>
      </w:pPr>
    </w:p>
    <w:p w:rsidR="00681E8E" w:rsidRPr="00DC2BE9" w:rsidRDefault="00681E8E" w:rsidP="006F3A67">
      <w:pPr>
        <w:jc w:val="both"/>
        <w:rPr>
          <w:sz w:val="22"/>
          <w:szCs w:val="22"/>
          <w:lang w:val="en-US"/>
        </w:rPr>
      </w:pPr>
      <w:r w:rsidRPr="00DC2BE9">
        <w:rPr>
          <w:sz w:val="22"/>
          <w:szCs w:val="22"/>
          <w:lang w:val="en-US"/>
        </w:rPr>
        <w:br w:type="page"/>
      </w:r>
    </w:p>
    <w:tbl>
      <w:tblPr>
        <w:tblpPr w:leftFromText="180" w:rightFromText="180" w:horzAnchor="margin" w:tblpY="690"/>
        <w:tblW w:w="9860" w:type="dxa"/>
        <w:tblLook w:val="04A0" w:firstRow="1" w:lastRow="0" w:firstColumn="1" w:lastColumn="0" w:noHBand="0" w:noVBand="1"/>
      </w:tblPr>
      <w:tblGrid>
        <w:gridCol w:w="3400"/>
        <w:gridCol w:w="6460"/>
      </w:tblGrid>
      <w:tr w:rsidR="00DC2BE9" w:rsidRPr="00DC2BE9" w:rsidTr="00DC2BE9">
        <w:trPr>
          <w:trHeight w:val="300"/>
        </w:trPr>
        <w:tc>
          <w:tcPr>
            <w:tcW w:w="3400" w:type="dxa"/>
            <w:tcBorders>
              <w:top w:val="single" w:sz="8" w:space="0" w:color="auto"/>
              <w:left w:val="single" w:sz="8" w:space="0" w:color="auto"/>
              <w:bottom w:val="single" w:sz="4" w:space="0" w:color="auto"/>
              <w:right w:val="nil"/>
            </w:tcBorders>
            <w:shd w:val="clear" w:color="000000" w:fill="DDEBF7"/>
            <w:hideMark/>
          </w:tcPr>
          <w:p w:rsidR="00DC2BE9" w:rsidRPr="00DC2BE9" w:rsidRDefault="00DC2BE9" w:rsidP="00DC2BE9">
            <w:pPr>
              <w:rPr>
                <w:rFonts w:ascii="Calibri" w:hAnsi="Calibri"/>
                <w:b/>
                <w:bCs/>
                <w:color w:val="000000"/>
                <w:sz w:val="22"/>
                <w:szCs w:val="22"/>
                <w:lang w:val="en-US" w:eastAsia="en-US"/>
              </w:rPr>
            </w:pPr>
            <w:r w:rsidRPr="00DC2BE9">
              <w:rPr>
                <w:rFonts w:ascii="Calibri" w:hAnsi="Calibri"/>
                <w:b/>
                <w:bCs/>
                <w:color w:val="000000"/>
                <w:sz w:val="22"/>
                <w:szCs w:val="22"/>
                <w:lang w:val="en-US" w:eastAsia="en-US"/>
              </w:rPr>
              <w:lastRenderedPageBreak/>
              <w:t xml:space="preserve">Type de </w:t>
            </w:r>
            <w:proofErr w:type="spellStart"/>
            <w:r w:rsidRPr="00DC2BE9">
              <w:rPr>
                <w:rFonts w:ascii="Calibri" w:hAnsi="Calibri"/>
                <w:b/>
                <w:bCs/>
                <w:color w:val="000000"/>
                <w:sz w:val="22"/>
                <w:szCs w:val="22"/>
                <w:lang w:val="en-US" w:eastAsia="en-US"/>
              </w:rPr>
              <w:t>contrat</w:t>
            </w:r>
            <w:proofErr w:type="spellEnd"/>
            <w:r w:rsidRPr="00DC2BE9">
              <w:rPr>
                <w:rFonts w:ascii="Calibri" w:hAnsi="Calibri"/>
                <w:b/>
                <w:bCs/>
                <w:color w:val="000000"/>
                <w:sz w:val="22"/>
                <w:szCs w:val="22"/>
                <w:lang w:val="en-US" w:eastAsia="en-US"/>
              </w:rPr>
              <w:t xml:space="preserve"> financier</w:t>
            </w:r>
          </w:p>
        </w:tc>
        <w:tc>
          <w:tcPr>
            <w:tcW w:w="6460" w:type="dxa"/>
            <w:tcBorders>
              <w:top w:val="single" w:sz="8" w:space="0" w:color="auto"/>
              <w:left w:val="nil"/>
              <w:bottom w:val="single" w:sz="4" w:space="0" w:color="auto"/>
              <w:right w:val="single" w:sz="8" w:space="0" w:color="auto"/>
            </w:tcBorders>
            <w:shd w:val="clear" w:color="000000" w:fill="DDEBF7"/>
            <w:hideMark/>
          </w:tcPr>
          <w:p w:rsidR="00DC2BE9" w:rsidRPr="00DC2BE9" w:rsidRDefault="00DC2BE9" w:rsidP="00DC2BE9">
            <w:pPr>
              <w:rPr>
                <w:rFonts w:ascii="Calibri" w:hAnsi="Calibri"/>
                <w:b/>
                <w:bCs/>
                <w:color w:val="000000"/>
                <w:sz w:val="22"/>
                <w:szCs w:val="22"/>
                <w:lang w:val="en-US" w:eastAsia="en-US"/>
              </w:rPr>
            </w:pPr>
            <w:proofErr w:type="spellStart"/>
            <w:r w:rsidRPr="00DC2BE9">
              <w:rPr>
                <w:rFonts w:ascii="Calibri" w:hAnsi="Calibri"/>
                <w:b/>
                <w:bCs/>
                <w:color w:val="000000"/>
                <w:sz w:val="22"/>
                <w:szCs w:val="22"/>
                <w:lang w:val="en-US" w:eastAsia="en-US"/>
              </w:rPr>
              <w:t>Leverage_Amount</w:t>
            </w:r>
            <w:proofErr w:type="spellEnd"/>
            <w:r w:rsidRPr="00DC2BE9">
              <w:rPr>
                <w:rFonts w:ascii="Calibri" w:hAnsi="Calibri"/>
                <w:b/>
                <w:bCs/>
                <w:color w:val="000000"/>
                <w:sz w:val="22"/>
                <w:szCs w:val="22"/>
                <w:lang w:val="en-US" w:eastAsia="en-US"/>
              </w:rPr>
              <w:t xml:space="preserve"> (</w:t>
            </w:r>
            <w:proofErr w:type="spellStart"/>
            <w:r w:rsidRPr="00DC2BE9">
              <w:rPr>
                <w:rFonts w:ascii="Calibri" w:hAnsi="Calibri"/>
                <w:b/>
                <w:bCs/>
                <w:color w:val="000000"/>
                <w:sz w:val="22"/>
                <w:szCs w:val="22"/>
                <w:lang w:val="en-US" w:eastAsia="en-US"/>
              </w:rPr>
              <w:t>en</w:t>
            </w:r>
            <w:proofErr w:type="spellEnd"/>
            <w:r w:rsidRPr="00DC2BE9">
              <w:rPr>
                <w:rFonts w:ascii="Calibri" w:hAnsi="Calibri"/>
                <w:b/>
                <w:bCs/>
                <w:color w:val="000000"/>
                <w:sz w:val="22"/>
                <w:szCs w:val="22"/>
                <w:lang w:val="en-US" w:eastAsia="en-US"/>
              </w:rPr>
              <w:t xml:space="preserve"> EUR)</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000000" w:fill="BDD7EE"/>
            <w:hideMark/>
          </w:tcPr>
          <w:p w:rsidR="00DC2BE9" w:rsidRPr="00DC2BE9" w:rsidRDefault="00DC2BE9" w:rsidP="00DC2BE9">
            <w:pPr>
              <w:rPr>
                <w:rFonts w:ascii="Calibri" w:hAnsi="Calibri"/>
                <w:b/>
                <w:bCs/>
                <w:color w:val="000000"/>
                <w:sz w:val="22"/>
                <w:szCs w:val="22"/>
                <w:lang w:val="en-US" w:eastAsia="en-US"/>
              </w:rPr>
            </w:pPr>
            <w:proofErr w:type="spellStart"/>
            <w:r w:rsidRPr="00DC2BE9">
              <w:rPr>
                <w:rFonts w:ascii="Calibri" w:hAnsi="Calibri"/>
                <w:b/>
                <w:bCs/>
                <w:color w:val="000000"/>
                <w:sz w:val="22"/>
                <w:szCs w:val="22"/>
                <w:lang w:val="en-US" w:eastAsia="en-US"/>
              </w:rPr>
              <w:t>Contrats</w:t>
            </w:r>
            <w:proofErr w:type="spellEnd"/>
            <w:r w:rsidRPr="00DC2BE9">
              <w:rPr>
                <w:rFonts w:ascii="Calibri" w:hAnsi="Calibri"/>
                <w:b/>
                <w:bCs/>
                <w:color w:val="000000"/>
                <w:sz w:val="22"/>
                <w:szCs w:val="22"/>
                <w:lang w:val="en-US" w:eastAsia="en-US"/>
              </w:rPr>
              <w:t xml:space="preserve"> à </w:t>
            </w:r>
            <w:proofErr w:type="spellStart"/>
            <w:r w:rsidRPr="00DC2BE9">
              <w:rPr>
                <w:rFonts w:ascii="Calibri" w:hAnsi="Calibri"/>
                <w:b/>
                <w:bCs/>
                <w:color w:val="000000"/>
                <w:sz w:val="22"/>
                <w:szCs w:val="22"/>
                <w:lang w:val="en-US" w:eastAsia="en-US"/>
              </w:rPr>
              <w:t>terme</w:t>
            </w:r>
            <w:proofErr w:type="spellEnd"/>
            <w:r w:rsidRPr="00DC2BE9">
              <w:rPr>
                <w:rFonts w:ascii="Calibri" w:hAnsi="Calibri"/>
                <w:b/>
                <w:bCs/>
                <w:color w:val="000000"/>
                <w:sz w:val="22"/>
                <w:szCs w:val="22"/>
                <w:lang w:val="en-US" w:eastAsia="en-US"/>
              </w:rPr>
              <w:t xml:space="preserve"> (Futures)</w:t>
            </w:r>
          </w:p>
        </w:tc>
        <w:tc>
          <w:tcPr>
            <w:tcW w:w="6460" w:type="dxa"/>
            <w:tcBorders>
              <w:top w:val="nil"/>
              <w:left w:val="nil"/>
              <w:bottom w:val="single" w:sz="4" w:space="0" w:color="auto"/>
              <w:right w:val="single" w:sz="8" w:space="0" w:color="auto"/>
            </w:tcBorders>
            <w:shd w:val="clear" w:color="000000" w:fill="BDD7EE"/>
            <w:hideMark/>
          </w:tcPr>
          <w:p w:rsidR="00DC2BE9" w:rsidRPr="00DC2BE9" w:rsidRDefault="00DC2BE9" w:rsidP="00DC2BE9">
            <w:pPr>
              <w:rPr>
                <w:rFonts w:ascii="Calibri" w:hAnsi="Calibri"/>
                <w:color w:val="000000"/>
                <w:sz w:val="22"/>
                <w:szCs w:val="22"/>
                <w:lang w:val="en-US" w:eastAsia="en-US"/>
              </w:rPr>
            </w:pPr>
            <w:proofErr w:type="spellStart"/>
            <w:r>
              <w:rPr>
                <w:rFonts w:ascii="Calibri" w:hAnsi="Calibri"/>
                <w:color w:val="000000"/>
                <w:sz w:val="22"/>
                <w:szCs w:val="22"/>
                <w:lang w:val="en-US" w:eastAsia="en-US"/>
              </w:rPr>
              <w:t>v</w:t>
            </w:r>
            <w:r w:rsidRPr="00DC2BE9">
              <w:rPr>
                <w:rFonts w:ascii="Calibri" w:hAnsi="Calibri"/>
                <w:color w:val="000000"/>
                <w:sz w:val="22"/>
                <w:szCs w:val="22"/>
                <w:lang w:val="en-US" w:eastAsia="en-US"/>
              </w:rPr>
              <w:t>aleur</w:t>
            </w:r>
            <w:proofErr w:type="spellEnd"/>
            <w:r w:rsidRPr="00DC2BE9">
              <w:rPr>
                <w:rFonts w:ascii="Calibri" w:hAnsi="Calibri"/>
                <w:color w:val="000000"/>
                <w:sz w:val="22"/>
                <w:szCs w:val="22"/>
                <w:lang w:val="en-US" w:eastAsia="en-US"/>
              </w:rPr>
              <w:t xml:space="preserve"> </w:t>
            </w:r>
            <w:proofErr w:type="spellStart"/>
            <w:r w:rsidRPr="00DC2BE9">
              <w:rPr>
                <w:rFonts w:ascii="Calibri" w:hAnsi="Calibri"/>
                <w:color w:val="000000"/>
                <w:sz w:val="22"/>
                <w:szCs w:val="22"/>
                <w:lang w:val="en-US" w:eastAsia="en-US"/>
              </w:rPr>
              <w:t>absolue</w:t>
            </w:r>
            <w:proofErr w:type="spellEnd"/>
            <w:r w:rsidRPr="00DC2BE9">
              <w:rPr>
                <w:rFonts w:ascii="Calibri" w:hAnsi="Calibri"/>
                <w:color w:val="000000"/>
                <w:sz w:val="22"/>
                <w:szCs w:val="22"/>
                <w:lang w:val="en-US" w:eastAsia="en-US"/>
              </w:rPr>
              <w:t xml:space="preserve"> de:</w:t>
            </w:r>
          </w:p>
        </w:tc>
      </w:tr>
      <w:tr w:rsidR="00DC2BE9" w:rsidRPr="00DC2BE9" w:rsidTr="00DC2BE9">
        <w:trPr>
          <w:trHeight w:val="9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Contrat à terme sur obligation</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proofErr w:type="gramStart"/>
            <w:r>
              <w:rPr>
                <w:rFonts w:ascii="Calibri" w:hAnsi="Calibri"/>
                <w:color w:val="000000"/>
                <w:sz w:val="22"/>
                <w:szCs w:val="22"/>
                <w:lang w:eastAsia="en-US"/>
              </w:rPr>
              <w:t>M</w:t>
            </w:r>
            <w:r w:rsidRPr="00DC2BE9">
              <w:rPr>
                <w:rFonts w:ascii="Calibri" w:hAnsi="Calibri"/>
                <w:color w:val="000000"/>
                <w:sz w:val="22"/>
                <w:szCs w:val="22"/>
                <w:lang w:eastAsia="en-US"/>
              </w:rPr>
              <w:t>ax(</w:t>
            </w:r>
            <w:proofErr w:type="gramEnd"/>
            <w:r w:rsidRPr="00DC2BE9">
              <w:rPr>
                <w:rFonts w:ascii="Calibri" w:hAnsi="Calibri"/>
                <w:color w:val="000000"/>
                <w:sz w:val="22"/>
                <w:szCs w:val="22"/>
                <w:lang w:eastAsia="en-US"/>
              </w:rPr>
              <w:t>Nombre de contrats * nominal du contrat * valeur de marché de l’obligation obligation la moins chère à livrer de référence;</w:t>
            </w:r>
            <w:r w:rsidRPr="00DC2BE9">
              <w:rPr>
                <w:rFonts w:ascii="Calibri" w:hAnsi="Calibri"/>
                <w:color w:val="000000"/>
                <w:sz w:val="22"/>
                <w:szCs w:val="22"/>
                <w:lang w:eastAsia="en-US"/>
              </w:rPr>
              <w:br/>
              <w:t xml:space="preserve"> Nombre de contrats * nominal du contrat)</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Contrat à terme de taux d’intérêts</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Nombre de contrats * nominal du contrat</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Contrat à terme sur change</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Nombre de contrats * nominal du contrat</w:t>
            </w:r>
          </w:p>
        </w:tc>
      </w:tr>
      <w:tr w:rsidR="00DC2BE9" w:rsidRPr="00DC2BE9" w:rsidTr="00DC2BE9">
        <w:trPr>
          <w:trHeight w:val="6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Contrat à terme sur action</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Nombre de contrats * nominal du contrat * valeur de marché de l’action sous-jacente</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Contrat à terme sur indice</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Nombre de contrats * nominal du contrat * niveau de l’indice</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000000" w:fill="BDD7EE"/>
            <w:hideMark/>
          </w:tcPr>
          <w:p w:rsidR="00DC2BE9" w:rsidRPr="00DC2BE9" w:rsidRDefault="00DC2BE9" w:rsidP="00DC2BE9">
            <w:pPr>
              <w:rPr>
                <w:rFonts w:ascii="Calibri" w:hAnsi="Calibri"/>
                <w:b/>
                <w:bCs/>
                <w:color w:val="000000"/>
                <w:sz w:val="22"/>
                <w:szCs w:val="22"/>
                <w:lang w:val="en-US" w:eastAsia="en-US"/>
              </w:rPr>
            </w:pPr>
            <w:r w:rsidRPr="00DC2BE9">
              <w:rPr>
                <w:rFonts w:ascii="Calibri" w:hAnsi="Calibri"/>
                <w:b/>
                <w:bCs/>
                <w:color w:val="000000"/>
                <w:sz w:val="22"/>
                <w:szCs w:val="22"/>
                <w:lang w:val="en-US" w:eastAsia="en-US"/>
              </w:rPr>
              <w:t>Options</w:t>
            </w:r>
          </w:p>
        </w:tc>
        <w:tc>
          <w:tcPr>
            <w:tcW w:w="6460" w:type="dxa"/>
            <w:tcBorders>
              <w:top w:val="nil"/>
              <w:left w:val="nil"/>
              <w:bottom w:val="single" w:sz="4" w:space="0" w:color="auto"/>
              <w:right w:val="single" w:sz="8" w:space="0" w:color="auto"/>
            </w:tcBorders>
            <w:shd w:val="clear" w:color="000000" w:fill="BDD7EE"/>
            <w:hideMark/>
          </w:tcPr>
          <w:p w:rsidR="00DC2BE9" w:rsidRPr="00DC2BE9" w:rsidRDefault="00DC2BE9" w:rsidP="00DC2BE9">
            <w:pPr>
              <w:rPr>
                <w:rFonts w:ascii="Calibri" w:hAnsi="Calibri"/>
                <w:color w:val="000000"/>
                <w:sz w:val="22"/>
                <w:szCs w:val="22"/>
                <w:lang w:val="en-US" w:eastAsia="en-US"/>
              </w:rPr>
            </w:pPr>
            <w:proofErr w:type="spellStart"/>
            <w:r w:rsidRPr="00DC2BE9">
              <w:rPr>
                <w:rFonts w:ascii="Calibri" w:hAnsi="Calibri"/>
                <w:color w:val="000000"/>
                <w:sz w:val="22"/>
                <w:szCs w:val="22"/>
                <w:lang w:val="en-US" w:eastAsia="en-US"/>
              </w:rPr>
              <w:t>valeur</w:t>
            </w:r>
            <w:proofErr w:type="spellEnd"/>
            <w:r w:rsidRPr="00DC2BE9">
              <w:rPr>
                <w:rFonts w:ascii="Calibri" w:hAnsi="Calibri"/>
                <w:color w:val="000000"/>
                <w:sz w:val="22"/>
                <w:szCs w:val="22"/>
                <w:lang w:val="en-US" w:eastAsia="en-US"/>
              </w:rPr>
              <w:t xml:space="preserve"> </w:t>
            </w:r>
            <w:proofErr w:type="spellStart"/>
            <w:r w:rsidRPr="00DC2BE9">
              <w:rPr>
                <w:rFonts w:ascii="Calibri" w:hAnsi="Calibri"/>
                <w:color w:val="000000"/>
                <w:sz w:val="22"/>
                <w:szCs w:val="22"/>
                <w:lang w:val="en-US" w:eastAsia="en-US"/>
              </w:rPr>
              <w:t>absolue</w:t>
            </w:r>
            <w:proofErr w:type="spellEnd"/>
            <w:r w:rsidRPr="00DC2BE9">
              <w:rPr>
                <w:rFonts w:ascii="Calibri" w:hAnsi="Calibri"/>
                <w:color w:val="000000"/>
                <w:sz w:val="22"/>
                <w:szCs w:val="22"/>
                <w:lang w:val="en-US" w:eastAsia="en-US"/>
              </w:rPr>
              <w:t xml:space="preserve"> de:</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 xml:space="preserve">Option </w:t>
            </w:r>
            <w:proofErr w:type="spellStart"/>
            <w:r w:rsidRPr="00DC2BE9">
              <w:rPr>
                <w:rFonts w:ascii="Calibri" w:hAnsi="Calibri"/>
                <w:color w:val="000000"/>
                <w:sz w:val="22"/>
                <w:szCs w:val="22"/>
                <w:lang w:val="en-US" w:eastAsia="en-US"/>
              </w:rPr>
              <w:t>vanille</w:t>
            </w:r>
            <w:proofErr w:type="spellEnd"/>
            <w:r w:rsidRPr="00DC2BE9">
              <w:rPr>
                <w:rFonts w:ascii="Calibri" w:hAnsi="Calibri"/>
                <w:color w:val="000000"/>
                <w:sz w:val="22"/>
                <w:szCs w:val="22"/>
                <w:lang w:val="en-US" w:eastAsia="en-US"/>
              </w:rPr>
              <w:t xml:space="preserve"> sur obligation </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Nominal * valeur de marché de l’obligation sous-jacente</w:t>
            </w:r>
          </w:p>
        </w:tc>
      </w:tr>
      <w:tr w:rsidR="00DC2BE9" w:rsidRPr="00DC2BE9" w:rsidTr="00DC2BE9">
        <w:trPr>
          <w:trHeight w:val="6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 xml:space="preserve">Option </w:t>
            </w:r>
            <w:proofErr w:type="spellStart"/>
            <w:r w:rsidRPr="00DC2BE9">
              <w:rPr>
                <w:rFonts w:ascii="Calibri" w:hAnsi="Calibri"/>
                <w:color w:val="000000"/>
                <w:sz w:val="22"/>
                <w:szCs w:val="22"/>
                <w:lang w:val="en-US" w:eastAsia="en-US"/>
              </w:rPr>
              <w:t>vanille</w:t>
            </w:r>
            <w:proofErr w:type="spellEnd"/>
            <w:r w:rsidRPr="00DC2BE9">
              <w:rPr>
                <w:rFonts w:ascii="Calibri" w:hAnsi="Calibri"/>
                <w:color w:val="000000"/>
                <w:sz w:val="22"/>
                <w:szCs w:val="22"/>
                <w:lang w:val="en-US" w:eastAsia="en-US"/>
              </w:rPr>
              <w:t xml:space="preserve"> sur action</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Nombre de contrats * nominal du contrat * valeur de marché de l’action sous-jacente</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Option vanille sur taux d’intérêt</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Nominal</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 xml:space="preserve">Option </w:t>
            </w:r>
            <w:proofErr w:type="spellStart"/>
            <w:r w:rsidRPr="00DC2BE9">
              <w:rPr>
                <w:rFonts w:ascii="Calibri" w:hAnsi="Calibri"/>
                <w:color w:val="000000"/>
                <w:sz w:val="22"/>
                <w:szCs w:val="22"/>
                <w:lang w:val="en-US" w:eastAsia="en-US"/>
              </w:rPr>
              <w:t>vanille</w:t>
            </w:r>
            <w:proofErr w:type="spellEnd"/>
            <w:r w:rsidRPr="00DC2BE9">
              <w:rPr>
                <w:rFonts w:ascii="Calibri" w:hAnsi="Calibri"/>
                <w:color w:val="000000"/>
                <w:sz w:val="22"/>
                <w:szCs w:val="22"/>
                <w:lang w:val="en-US" w:eastAsia="en-US"/>
              </w:rPr>
              <w:t xml:space="preserve"> sur change</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Nominal de la (les) jambe(s)</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 xml:space="preserve">Option </w:t>
            </w:r>
            <w:proofErr w:type="spellStart"/>
            <w:r w:rsidRPr="00DC2BE9">
              <w:rPr>
                <w:rFonts w:ascii="Calibri" w:hAnsi="Calibri"/>
                <w:color w:val="000000"/>
                <w:sz w:val="22"/>
                <w:szCs w:val="22"/>
                <w:lang w:val="en-US" w:eastAsia="en-US"/>
              </w:rPr>
              <w:t>vanille</w:t>
            </w:r>
            <w:proofErr w:type="spellEnd"/>
            <w:r w:rsidRPr="00DC2BE9">
              <w:rPr>
                <w:rFonts w:ascii="Calibri" w:hAnsi="Calibri"/>
                <w:color w:val="000000"/>
                <w:sz w:val="22"/>
                <w:szCs w:val="22"/>
                <w:lang w:val="en-US" w:eastAsia="en-US"/>
              </w:rPr>
              <w:t xml:space="preserve"> sur </w:t>
            </w:r>
            <w:proofErr w:type="spellStart"/>
            <w:r w:rsidRPr="00DC2BE9">
              <w:rPr>
                <w:rFonts w:ascii="Calibri" w:hAnsi="Calibri"/>
                <w:color w:val="000000"/>
                <w:sz w:val="22"/>
                <w:szCs w:val="22"/>
                <w:lang w:val="en-US" w:eastAsia="en-US"/>
              </w:rPr>
              <w:t>indice</w:t>
            </w:r>
            <w:proofErr w:type="spellEnd"/>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Nombre de contrats * nominal du contrat * niveau de l’indice</w:t>
            </w:r>
          </w:p>
        </w:tc>
      </w:tr>
      <w:tr w:rsidR="00DC2BE9" w:rsidRPr="00DC2BE9" w:rsidTr="00DC2BE9">
        <w:trPr>
          <w:trHeight w:val="6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Option vanille sur contrats à terme</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Nombre de contrats * nominal du contrat * valeur de marché de l’actif sous-jacent</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val="en-US" w:eastAsia="en-US"/>
              </w:rPr>
            </w:pPr>
            <w:proofErr w:type="spellStart"/>
            <w:r w:rsidRPr="00DC2BE9">
              <w:rPr>
                <w:rFonts w:ascii="Calibri" w:hAnsi="Calibri"/>
                <w:color w:val="000000"/>
                <w:sz w:val="22"/>
                <w:szCs w:val="22"/>
                <w:lang w:val="en-US" w:eastAsia="en-US"/>
              </w:rPr>
              <w:t>Swaptions</w:t>
            </w:r>
            <w:proofErr w:type="spellEnd"/>
            <w:r w:rsidRPr="00DC2BE9">
              <w:rPr>
                <w:rFonts w:ascii="Calibri" w:hAnsi="Calibri"/>
                <w:color w:val="000000"/>
                <w:sz w:val="22"/>
                <w:szCs w:val="22"/>
                <w:lang w:val="en-US" w:eastAsia="en-US"/>
              </w:rPr>
              <w:t xml:space="preserve"> </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Formule de conversion du contrat d’échange sous-jacent</w:t>
            </w:r>
          </w:p>
        </w:tc>
      </w:tr>
      <w:tr w:rsidR="00DC2BE9" w:rsidRPr="00DC2BE9" w:rsidTr="00DC2BE9">
        <w:trPr>
          <w:trHeight w:val="6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Warrants et bons de souscriptions</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 xml:space="preserve">Nombre d’actions/obligations * valeur de marché de l’instrument </w:t>
            </w:r>
            <w:proofErr w:type="spellStart"/>
            <w:r w:rsidRPr="00DC2BE9">
              <w:rPr>
                <w:rFonts w:ascii="Calibri" w:hAnsi="Calibri"/>
                <w:color w:val="000000"/>
                <w:sz w:val="22"/>
                <w:szCs w:val="22"/>
                <w:lang w:eastAsia="en-US"/>
              </w:rPr>
              <w:t>sousjacent</w:t>
            </w:r>
            <w:proofErr w:type="spellEnd"/>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000000" w:fill="BDD7EE"/>
            <w:hideMark/>
          </w:tcPr>
          <w:p w:rsidR="00DC2BE9" w:rsidRPr="00DC2BE9" w:rsidRDefault="00DC2BE9" w:rsidP="00DC2BE9">
            <w:pPr>
              <w:rPr>
                <w:rFonts w:ascii="Calibri" w:hAnsi="Calibri"/>
                <w:b/>
                <w:bCs/>
                <w:color w:val="000000"/>
                <w:sz w:val="22"/>
                <w:szCs w:val="22"/>
                <w:lang w:val="en-US" w:eastAsia="en-US"/>
              </w:rPr>
            </w:pPr>
            <w:r w:rsidRPr="00DC2BE9">
              <w:rPr>
                <w:rFonts w:ascii="Calibri" w:hAnsi="Calibri"/>
                <w:b/>
                <w:bCs/>
                <w:color w:val="000000"/>
                <w:sz w:val="22"/>
                <w:szCs w:val="22"/>
                <w:lang w:val="en-US" w:eastAsia="en-US"/>
              </w:rPr>
              <w:t>Swaps</w:t>
            </w:r>
          </w:p>
        </w:tc>
        <w:tc>
          <w:tcPr>
            <w:tcW w:w="6460" w:type="dxa"/>
            <w:tcBorders>
              <w:top w:val="nil"/>
              <w:left w:val="nil"/>
              <w:bottom w:val="single" w:sz="4" w:space="0" w:color="auto"/>
              <w:right w:val="single" w:sz="8" w:space="0" w:color="auto"/>
            </w:tcBorders>
            <w:shd w:val="clear" w:color="000000" w:fill="BDD7EE"/>
            <w:hideMark/>
          </w:tcPr>
          <w:p w:rsidR="00DC2BE9" w:rsidRPr="00DC2BE9" w:rsidRDefault="00DC2BE9" w:rsidP="00DC2BE9">
            <w:pPr>
              <w:rPr>
                <w:rFonts w:ascii="Calibri" w:hAnsi="Calibri"/>
                <w:color w:val="000000"/>
                <w:sz w:val="22"/>
                <w:szCs w:val="22"/>
                <w:lang w:val="en-US" w:eastAsia="en-US"/>
              </w:rPr>
            </w:pPr>
            <w:proofErr w:type="spellStart"/>
            <w:r w:rsidRPr="00DC2BE9">
              <w:rPr>
                <w:rFonts w:ascii="Calibri" w:hAnsi="Calibri"/>
                <w:color w:val="000000"/>
                <w:sz w:val="22"/>
                <w:szCs w:val="22"/>
                <w:lang w:val="en-US" w:eastAsia="en-US"/>
              </w:rPr>
              <w:t>valeur</w:t>
            </w:r>
            <w:proofErr w:type="spellEnd"/>
            <w:r w:rsidRPr="00DC2BE9">
              <w:rPr>
                <w:rFonts w:ascii="Calibri" w:hAnsi="Calibri"/>
                <w:color w:val="000000"/>
                <w:sz w:val="22"/>
                <w:szCs w:val="22"/>
                <w:lang w:val="en-US" w:eastAsia="en-US"/>
              </w:rPr>
              <w:t xml:space="preserve"> </w:t>
            </w:r>
            <w:proofErr w:type="spellStart"/>
            <w:r w:rsidRPr="00DC2BE9">
              <w:rPr>
                <w:rFonts w:ascii="Calibri" w:hAnsi="Calibri"/>
                <w:color w:val="000000"/>
                <w:sz w:val="22"/>
                <w:szCs w:val="22"/>
                <w:lang w:val="en-US" w:eastAsia="en-US"/>
              </w:rPr>
              <w:t>absolue</w:t>
            </w:r>
            <w:proofErr w:type="spellEnd"/>
            <w:r w:rsidRPr="00DC2BE9">
              <w:rPr>
                <w:rFonts w:ascii="Calibri" w:hAnsi="Calibri"/>
                <w:color w:val="000000"/>
                <w:sz w:val="22"/>
                <w:szCs w:val="22"/>
                <w:lang w:val="en-US" w:eastAsia="en-US"/>
              </w:rPr>
              <w:t xml:space="preserve"> de:</w:t>
            </w:r>
          </w:p>
        </w:tc>
      </w:tr>
      <w:tr w:rsidR="00DC2BE9" w:rsidRPr="00DC2BE9" w:rsidTr="00DC2BE9">
        <w:trPr>
          <w:trHeight w:val="9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Contrat d’échange de taux classique (taux fixe/taux variable et inflation)</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Nominal de la jambe fixe</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val="en-US" w:eastAsia="en-US"/>
              </w:rPr>
            </w:pPr>
            <w:proofErr w:type="spellStart"/>
            <w:r w:rsidRPr="00DC2BE9">
              <w:rPr>
                <w:rFonts w:ascii="Calibri" w:hAnsi="Calibri"/>
                <w:color w:val="000000"/>
                <w:sz w:val="22"/>
                <w:szCs w:val="22"/>
                <w:lang w:val="en-US" w:eastAsia="en-US"/>
              </w:rPr>
              <w:t>Contrat</w:t>
            </w:r>
            <w:proofErr w:type="spellEnd"/>
            <w:r w:rsidRPr="00DC2BE9">
              <w:rPr>
                <w:rFonts w:ascii="Calibri" w:hAnsi="Calibri"/>
                <w:color w:val="000000"/>
                <w:sz w:val="22"/>
                <w:szCs w:val="22"/>
                <w:lang w:val="en-US" w:eastAsia="en-US"/>
              </w:rPr>
              <w:t xml:space="preserve"> </w:t>
            </w:r>
            <w:proofErr w:type="spellStart"/>
            <w:r w:rsidRPr="00DC2BE9">
              <w:rPr>
                <w:rFonts w:ascii="Calibri" w:hAnsi="Calibri"/>
                <w:color w:val="000000"/>
                <w:sz w:val="22"/>
                <w:szCs w:val="22"/>
                <w:lang w:val="en-US" w:eastAsia="en-US"/>
              </w:rPr>
              <w:t>d’échange</w:t>
            </w:r>
            <w:proofErr w:type="spellEnd"/>
            <w:r w:rsidRPr="00DC2BE9">
              <w:rPr>
                <w:rFonts w:ascii="Calibri" w:hAnsi="Calibri"/>
                <w:color w:val="000000"/>
                <w:sz w:val="22"/>
                <w:szCs w:val="22"/>
                <w:lang w:val="en-US" w:eastAsia="en-US"/>
              </w:rPr>
              <w:t xml:space="preserve"> de devises</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Nominal de la (les) jambe(s)</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Cross currency Interest Rate Swaps</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Nominal de la (les) jambe(s)</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Basic Total Return Swap</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Nominal</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Non-Basic Total Return Swap</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Nominal</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Credit Default Swap</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Nominal</w:t>
            </w:r>
          </w:p>
        </w:tc>
      </w:tr>
      <w:tr w:rsidR="00DC2BE9" w:rsidRPr="00DC2BE9" w:rsidTr="00DC2BE9">
        <w:trPr>
          <w:trHeight w:val="6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Contract for differences</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 xml:space="preserve">Nombre d’actions/obligations * valeur de marché de l’instrument </w:t>
            </w:r>
            <w:proofErr w:type="spellStart"/>
            <w:r w:rsidRPr="00DC2BE9">
              <w:rPr>
                <w:rFonts w:ascii="Calibri" w:hAnsi="Calibri"/>
                <w:color w:val="000000"/>
                <w:sz w:val="22"/>
                <w:szCs w:val="22"/>
                <w:lang w:eastAsia="en-US"/>
              </w:rPr>
              <w:t>sousjacent</w:t>
            </w:r>
            <w:proofErr w:type="spellEnd"/>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000000" w:fill="BDD7EE"/>
            <w:hideMark/>
          </w:tcPr>
          <w:p w:rsidR="00DC2BE9" w:rsidRPr="00DC2BE9" w:rsidRDefault="00DC2BE9" w:rsidP="00DC2BE9">
            <w:pPr>
              <w:rPr>
                <w:rFonts w:ascii="Calibri" w:hAnsi="Calibri"/>
                <w:b/>
                <w:bCs/>
                <w:color w:val="000000"/>
                <w:sz w:val="22"/>
                <w:szCs w:val="22"/>
                <w:lang w:val="en-US" w:eastAsia="en-US"/>
              </w:rPr>
            </w:pPr>
            <w:r w:rsidRPr="00DC2BE9">
              <w:rPr>
                <w:rFonts w:ascii="Calibri" w:hAnsi="Calibri"/>
                <w:b/>
                <w:bCs/>
                <w:color w:val="000000"/>
                <w:sz w:val="22"/>
                <w:szCs w:val="22"/>
                <w:lang w:val="en-US" w:eastAsia="en-US"/>
              </w:rPr>
              <w:t>Forwards</w:t>
            </w:r>
          </w:p>
        </w:tc>
        <w:tc>
          <w:tcPr>
            <w:tcW w:w="6460" w:type="dxa"/>
            <w:tcBorders>
              <w:top w:val="nil"/>
              <w:left w:val="nil"/>
              <w:bottom w:val="single" w:sz="4" w:space="0" w:color="auto"/>
              <w:right w:val="single" w:sz="8" w:space="0" w:color="auto"/>
            </w:tcBorders>
            <w:shd w:val="clear" w:color="000000" w:fill="BDD7EE"/>
            <w:hideMark/>
          </w:tcPr>
          <w:p w:rsidR="00DC2BE9" w:rsidRPr="00DC2BE9" w:rsidRDefault="00DC2BE9" w:rsidP="00DC2BE9">
            <w:pPr>
              <w:rPr>
                <w:rFonts w:ascii="Calibri" w:hAnsi="Calibri"/>
                <w:color w:val="000000"/>
                <w:sz w:val="22"/>
                <w:szCs w:val="22"/>
                <w:lang w:val="en-US" w:eastAsia="en-US"/>
              </w:rPr>
            </w:pPr>
            <w:proofErr w:type="spellStart"/>
            <w:r w:rsidRPr="00DC2BE9">
              <w:rPr>
                <w:rFonts w:ascii="Calibri" w:hAnsi="Calibri"/>
                <w:color w:val="000000"/>
                <w:sz w:val="22"/>
                <w:szCs w:val="22"/>
                <w:lang w:val="en-US" w:eastAsia="en-US"/>
              </w:rPr>
              <w:t>valeur</w:t>
            </w:r>
            <w:proofErr w:type="spellEnd"/>
            <w:r w:rsidRPr="00DC2BE9">
              <w:rPr>
                <w:rFonts w:ascii="Calibri" w:hAnsi="Calibri"/>
                <w:color w:val="000000"/>
                <w:sz w:val="22"/>
                <w:szCs w:val="22"/>
                <w:lang w:val="en-US" w:eastAsia="en-US"/>
              </w:rPr>
              <w:t xml:space="preserve"> </w:t>
            </w:r>
            <w:proofErr w:type="spellStart"/>
            <w:r w:rsidRPr="00DC2BE9">
              <w:rPr>
                <w:rFonts w:ascii="Calibri" w:hAnsi="Calibri"/>
                <w:color w:val="000000"/>
                <w:sz w:val="22"/>
                <w:szCs w:val="22"/>
                <w:lang w:val="en-US" w:eastAsia="en-US"/>
              </w:rPr>
              <w:t>absolue</w:t>
            </w:r>
            <w:proofErr w:type="spellEnd"/>
            <w:r w:rsidRPr="00DC2BE9">
              <w:rPr>
                <w:rFonts w:ascii="Calibri" w:hAnsi="Calibri"/>
                <w:color w:val="000000"/>
                <w:sz w:val="22"/>
                <w:szCs w:val="22"/>
                <w:lang w:val="en-US" w:eastAsia="en-US"/>
              </w:rPr>
              <w:t xml:space="preserve"> de:</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val="en-US" w:eastAsia="en-US"/>
              </w:rPr>
            </w:pPr>
            <w:proofErr w:type="spellStart"/>
            <w:r w:rsidRPr="00DC2BE9">
              <w:rPr>
                <w:rFonts w:ascii="Calibri" w:hAnsi="Calibri"/>
                <w:color w:val="000000"/>
                <w:sz w:val="22"/>
                <w:szCs w:val="22"/>
                <w:lang w:val="en-US" w:eastAsia="en-US"/>
              </w:rPr>
              <w:t>Contrat</w:t>
            </w:r>
            <w:proofErr w:type="spellEnd"/>
            <w:r w:rsidRPr="00DC2BE9">
              <w:rPr>
                <w:rFonts w:ascii="Calibri" w:hAnsi="Calibri"/>
                <w:color w:val="000000"/>
                <w:sz w:val="22"/>
                <w:szCs w:val="22"/>
                <w:lang w:val="en-US" w:eastAsia="en-US"/>
              </w:rPr>
              <w:t xml:space="preserve"> forward de devises</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Nominal de la (les) jambe(s)</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Forward rate agreement</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Nominal</w:t>
            </w:r>
          </w:p>
        </w:tc>
      </w:tr>
      <w:tr w:rsidR="00DC2BE9" w:rsidRPr="00DC2BE9" w:rsidTr="00DC2BE9">
        <w:trPr>
          <w:trHeight w:val="600"/>
        </w:trPr>
        <w:tc>
          <w:tcPr>
            <w:tcW w:w="3400" w:type="dxa"/>
            <w:tcBorders>
              <w:top w:val="nil"/>
              <w:left w:val="single" w:sz="8" w:space="0" w:color="auto"/>
              <w:bottom w:val="single" w:sz="4" w:space="0" w:color="auto"/>
              <w:right w:val="nil"/>
            </w:tcBorders>
            <w:shd w:val="clear" w:color="000000" w:fill="BDD7EE"/>
            <w:hideMark/>
          </w:tcPr>
          <w:p w:rsidR="00DC2BE9" w:rsidRPr="00DC2BE9" w:rsidRDefault="00DC2BE9" w:rsidP="00DC2BE9">
            <w:pPr>
              <w:rPr>
                <w:rFonts w:ascii="Calibri" w:hAnsi="Calibri"/>
                <w:b/>
                <w:bCs/>
                <w:color w:val="000000"/>
                <w:sz w:val="22"/>
                <w:szCs w:val="22"/>
                <w:lang w:val="en-US" w:eastAsia="en-US"/>
              </w:rPr>
            </w:pPr>
            <w:proofErr w:type="spellStart"/>
            <w:r w:rsidRPr="00DC2BE9">
              <w:rPr>
                <w:rFonts w:ascii="Calibri" w:hAnsi="Calibri"/>
                <w:b/>
                <w:bCs/>
                <w:color w:val="000000"/>
                <w:sz w:val="22"/>
                <w:szCs w:val="22"/>
                <w:lang w:val="en-US" w:eastAsia="en-US"/>
              </w:rPr>
              <w:t>Dérivés</w:t>
            </w:r>
            <w:proofErr w:type="spellEnd"/>
            <w:r w:rsidRPr="00DC2BE9">
              <w:rPr>
                <w:rFonts w:ascii="Calibri" w:hAnsi="Calibri"/>
                <w:b/>
                <w:bCs/>
                <w:color w:val="000000"/>
                <w:sz w:val="22"/>
                <w:szCs w:val="22"/>
                <w:lang w:val="en-US" w:eastAsia="en-US"/>
              </w:rPr>
              <w:t xml:space="preserve"> </w:t>
            </w:r>
            <w:proofErr w:type="spellStart"/>
            <w:r w:rsidRPr="00DC2BE9">
              <w:rPr>
                <w:rFonts w:ascii="Calibri" w:hAnsi="Calibri"/>
                <w:b/>
                <w:bCs/>
                <w:color w:val="000000"/>
                <w:sz w:val="22"/>
                <w:szCs w:val="22"/>
                <w:lang w:val="en-US" w:eastAsia="en-US"/>
              </w:rPr>
              <w:t>intégrés</w:t>
            </w:r>
            <w:proofErr w:type="spellEnd"/>
            <w:r w:rsidRPr="00DC2BE9">
              <w:rPr>
                <w:rFonts w:ascii="Calibri" w:hAnsi="Calibri"/>
                <w:b/>
                <w:bCs/>
                <w:color w:val="000000"/>
                <w:sz w:val="22"/>
                <w:szCs w:val="22"/>
                <w:lang w:val="en-US" w:eastAsia="en-US"/>
              </w:rPr>
              <w:t xml:space="preserve"> (Embedded Derivatives)</w:t>
            </w:r>
          </w:p>
        </w:tc>
        <w:tc>
          <w:tcPr>
            <w:tcW w:w="6460" w:type="dxa"/>
            <w:tcBorders>
              <w:top w:val="nil"/>
              <w:left w:val="nil"/>
              <w:bottom w:val="single" w:sz="4" w:space="0" w:color="auto"/>
              <w:right w:val="single" w:sz="8" w:space="0" w:color="auto"/>
            </w:tcBorders>
            <w:shd w:val="clear" w:color="000000" w:fill="BDD7EE"/>
            <w:hideMark/>
          </w:tcPr>
          <w:p w:rsidR="00DC2BE9" w:rsidRPr="00DC2BE9" w:rsidRDefault="00DC2BE9" w:rsidP="00DC2BE9">
            <w:pPr>
              <w:rPr>
                <w:rFonts w:ascii="Calibri" w:hAnsi="Calibri"/>
                <w:color w:val="000000"/>
                <w:sz w:val="22"/>
                <w:szCs w:val="22"/>
                <w:lang w:val="en-US" w:eastAsia="en-US"/>
              </w:rPr>
            </w:pPr>
            <w:proofErr w:type="spellStart"/>
            <w:r w:rsidRPr="00DC2BE9">
              <w:rPr>
                <w:rFonts w:ascii="Calibri" w:hAnsi="Calibri"/>
                <w:color w:val="000000"/>
                <w:sz w:val="22"/>
                <w:szCs w:val="22"/>
                <w:lang w:val="en-US" w:eastAsia="en-US"/>
              </w:rPr>
              <w:t>valeur</w:t>
            </w:r>
            <w:proofErr w:type="spellEnd"/>
            <w:r w:rsidRPr="00DC2BE9">
              <w:rPr>
                <w:rFonts w:ascii="Calibri" w:hAnsi="Calibri"/>
                <w:color w:val="000000"/>
                <w:sz w:val="22"/>
                <w:szCs w:val="22"/>
                <w:lang w:val="en-US" w:eastAsia="en-US"/>
              </w:rPr>
              <w:t xml:space="preserve"> </w:t>
            </w:r>
            <w:proofErr w:type="spellStart"/>
            <w:r w:rsidRPr="00DC2BE9">
              <w:rPr>
                <w:rFonts w:ascii="Calibri" w:hAnsi="Calibri"/>
                <w:color w:val="000000"/>
                <w:sz w:val="22"/>
                <w:szCs w:val="22"/>
                <w:lang w:val="en-US" w:eastAsia="en-US"/>
              </w:rPr>
              <w:t>absolue</w:t>
            </w:r>
            <w:proofErr w:type="spellEnd"/>
            <w:r w:rsidRPr="00DC2BE9">
              <w:rPr>
                <w:rFonts w:ascii="Calibri" w:hAnsi="Calibri"/>
                <w:color w:val="000000"/>
                <w:sz w:val="22"/>
                <w:szCs w:val="22"/>
                <w:lang w:val="en-US" w:eastAsia="en-US"/>
              </w:rPr>
              <w:t xml:space="preserve"> de:</w:t>
            </w:r>
          </w:p>
        </w:tc>
      </w:tr>
      <w:tr w:rsidR="00DC2BE9" w:rsidRPr="00DC2BE9" w:rsidTr="00DC2BE9">
        <w:trPr>
          <w:trHeight w:val="6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Obligation convertible</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 xml:space="preserve"> Nombre d’actions correspondantes * valeur de marché de l’action sous-jacente correspondante</w:t>
            </w:r>
          </w:p>
        </w:tc>
      </w:tr>
      <w:tr w:rsidR="00DC2BE9" w:rsidRPr="00DC2BE9" w:rsidTr="00DC2BE9">
        <w:trPr>
          <w:trHeight w:val="300"/>
        </w:trPr>
        <w:tc>
          <w:tcPr>
            <w:tcW w:w="3400" w:type="dxa"/>
            <w:tcBorders>
              <w:top w:val="nil"/>
              <w:left w:val="single" w:sz="8" w:space="0" w:color="auto"/>
              <w:bottom w:val="single" w:sz="4" w:space="0" w:color="auto"/>
              <w:right w:val="nil"/>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 Credit Linked Notes »</w:t>
            </w:r>
          </w:p>
        </w:tc>
        <w:tc>
          <w:tcPr>
            <w:tcW w:w="6460" w:type="dxa"/>
            <w:tcBorders>
              <w:top w:val="nil"/>
              <w:left w:val="nil"/>
              <w:bottom w:val="single" w:sz="4"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Valeur de marché de l’actif sous-jacent correspondant</w:t>
            </w:r>
          </w:p>
        </w:tc>
      </w:tr>
      <w:tr w:rsidR="00DC2BE9" w:rsidRPr="00DC2BE9" w:rsidTr="00DC2BE9">
        <w:trPr>
          <w:trHeight w:val="615"/>
        </w:trPr>
        <w:tc>
          <w:tcPr>
            <w:tcW w:w="3400" w:type="dxa"/>
            <w:tcBorders>
              <w:top w:val="nil"/>
              <w:left w:val="single" w:sz="8" w:space="0" w:color="auto"/>
              <w:bottom w:val="single" w:sz="8" w:space="0" w:color="auto"/>
              <w:right w:val="nil"/>
            </w:tcBorders>
            <w:shd w:val="clear" w:color="auto" w:fill="auto"/>
            <w:hideMark/>
          </w:tcPr>
          <w:p w:rsidR="00DC2BE9" w:rsidRPr="00DC2BE9" w:rsidRDefault="00DC2BE9" w:rsidP="00DC2BE9">
            <w:pPr>
              <w:rPr>
                <w:rFonts w:ascii="Calibri" w:hAnsi="Calibri"/>
                <w:color w:val="000000"/>
                <w:sz w:val="22"/>
                <w:szCs w:val="22"/>
                <w:lang w:val="en-US" w:eastAsia="en-US"/>
              </w:rPr>
            </w:pPr>
            <w:r w:rsidRPr="00DC2BE9">
              <w:rPr>
                <w:rFonts w:ascii="Calibri" w:hAnsi="Calibri"/>
                <w:color w:val="000000"/>
                <w:sz w:val="22"/>
                <w:szCs w:val="22"/>
                <w:lang w:val="en-US" w:eastAsia="en-US"/>
              </w:rPr>
              <w:t>« Partly Paid Securities »</w:t>
            </w:r>
          </w:p>
        </w:tc>
        <w:tc>
          <w:tcPr>
            <w:tcW w:w="6460" w:type="dxa"/>
            <w:tcBorders>
              <w:top w:val="nil"/>
              <w:left w:val="nil"/>
              <w:bottom w:val="single" w:sz="8" w:space="0" w:color="auto"/>
              <w:right w:val="single" w:sz="8" w:space="0" w:color="auto"/>
            </w:tcBorders>
            <w:shd w:val="clear" w:color="auto" w:fill="auto"/>
            <w:hideMark/>
          </w:tcPr>
          <w:p w:rsidR="00DC2BE9" w:rsidRPr="00DC2BE9" w:rsidRDefault="00DC2BE9" w:rsidP="00DC2BE9">
            <w:pPr>
              <w:rPr>
                <w:rFonts w:ascii="Calibri" w:hAnsi="Calibri"/>
                <w:color w:val="000000"/>
                <w:sz w:val="22"/>
                <w:szCs w:val="22"/>
                <w:lang w:eastAsia="en-US"/>
              </w:rPr>
            </w:pPr>
            <w:r w:rsidRPr="00DC2BE9">
              <w:rPr>
                <w:rFonts w:ascii="Calibri" w:hAnsi="Calibri"/>
                <w:color w:val="000000"/>
                <w:sz w:val="22"/>
                <w:szCs w:val="22"/>
                <w:lang w:eastAsia="en-US"/>
              </w:rPr>
              <w:t>Nombre d’actions/obligations * valeur de marché de l’instrument sous-jacent correspondant</w:t>
            </w:r>
          </w:p>
        </w:tc>
      </w:tr>
    </w:tbl>
    <w:p w:rsidR="007F7BD8" w:rsidRDefault="007F7BD8" w:rsidP="00D8383F">
      <w:pPr>
        <w:autoSpaceDE w:val="0"/>
        <w:autoSpaceDN w:val="0"/>
        <w:adjustRightInd w:val="0"/>
        <w:rPr>
          <w:sz w:val="22"/>
          <w:szCs w:val="22"/>
        </w:rPr>
      </w:pPr>
    </w:p>
    <w:p w:rsidR="00AD0DB8" w:rsidRDefault="00DC2BE9" w:rsidP="00D8383F">
      <w:pPr>
        <w:autoSpaceDE w:val="0"/>
        <w:autoSpaceDN w:val="0"/>
        <w:adjustRightInd w:val="0"/>
        <w:rPr>
          <w:b/>
          <w:sz w:val="22"/>
          <w:szCs w:val="22"/>
        </w:rPr>
      </w:pPr>
      <w:r w:rsidRPr="00DC2BE9">
        <w:rPr>
          <w:b/>
          <w:sz w:val="22"/>
          <w:szCs w:val="22"/>
        </w:rPr>
        <w:t>Tableau 1 : Levier en montant par type d’instrument dérivé</w:t>
      </w:r>
    </w:p>
    <w:p w:rsidR="00AD0DB8" w:rsidRDefault="00AD0DB8">
      <w:pPr>
        <w:rPr>
          <w:b/>
          <w:sz w:val="22"/>
          <w:szCs w:val="22"/>
        </w:rPr>
      </w:pPr>
      <w:r>
        <w:rPr>
          <w:b/>
          <w:sz w:val="22"/>
          <w:szCs w:val="22"/>
        </w:rPr>
        <w:br w:type="page"/>
      </w:r>
    </w:p>
    <w:p w:rsidR="00AD0DB8" w:rsidRPr="00974971" w:rsidRDefault="00AD0DB8" w:rsidP="00AD0DB8">
      <w:pPr>
        <w:autoSpaceDE w:val="0"/>
        <w:autoSpaceDN w:val="0"/>
        <w:adjustRightInd w:val="0"/>
        <w:jc w:val="both"/>
        <w:rPr>
          <w:sz w:val="22"/>
          <w:szCs w:val="22"/>
        </w:rPr>
      </w:pPr>
    </w:p>
    <w:p w:rsidR="00AD0DB8" w:rsidRDefault="00AD0DB8" w:rsidP="00AD0DB8">
      <w:pPr>
        <w:autoSpaceDE w:val="0"/>
        <w:autoSpaceDN w:val="0"/>
        <w:adjustRightInd w:val="0"/>
        <w:jc w:val="both"/>
        <w:rPr>
          <w:sz w:val="22"/>
          <w:szCs w:val="22"/>
        </w:rPr>
      </w:pPr>
    </w:p>
    <w:p w:rsidR="00AD0DB8" w:rsidRDefault="00AD0DB8" w:rsidP="00AD0DB8">
      <w:pPr>
        <w:pStyle w:val="Titre1"/>
        <w:numPr>
          <w:ilvl w:val="0"/>
          <w:numId w:val="19"/>
        </w:numPr>
        <w:jc w:val="both"/>
        <w:rPr>
          <w:rFonts w:ascii="Arial" w:hAnsi="Arial"/>
          <w:b/>
          <w:i w:val="0"/>
          <w:sz w:val="22"/>
          <w:szCs w:val="22"/>
        </w:rPr>
      </w:pPr>
      <w:r>
        <w:rPr>
          <w:rFonts w:ascii="Arial" w:hAnsi="Arial"/>
          <w:b/>
          <w:i w:val="0"/>
          <w:sz w:val="22"/>
          <w:szCs w:val="22"/>
        </w:rPr>
        <w:t>FUNCTIONAL SPECIFICATIONS</w:t>
      </w:r>
    </w:p>
    <w:p w:rsidR="00AD0DB8" w:rsidRDefault="00AD0DB8" w:rsidP="00AD0DB8">
      <w:pPr>
        <w:jc w:val="both"/>
      </w:pPr>
    </w:p>
    <w:p w:rsidR="00AD0DB8" w:rsidRPr="00952A0C" w:rsidRDefault="00AD0DB8" w:rsidP="00AD0DB8">
      <w:pPr>
        <w:rPr>
          <w:rFonts w:ascii="Arial" w:hAnsi="Arial" w:cs="Arial"/>
          <w:b/>
          <w:lang w:val="en-US"/>
        </w:rPr>
      </w:pPr>
      <w:r w:rsidRPr="00952A0C">
        <w:rPr>
          <w:rFonts w:ascii="Arial" w:hAnsi="Arial" w:cs="Arial"/>
          <w:b/>
          <w:lang w:val="en-US"/>
        </w:rPr>
        <w:t xml:space="preserve">TKO </w:t>
      </w:r>
      <w:r>
        <w:rPr>
          <w:rFonts w:ascii="Arial" w:hAnsi="Arial" w:cs="Arial"/>
          <w:b/>
          <w:lang w:val="en-US"/>
        </w:rPr>
        <w:t>Leverage (Notional) (Toolkit)</w:t>
      </w:r>
    </w:p>
    <w:p w:rsidR="00AD0DB8" w:rsidRPr="00D70B5B" w:rsidRDefault="00AD0DB8" w:rsidP="00AD0DB8">
      <w:pPr>
        <w:rPr>
          <w:rFonts w:ascii="Arial" w:hAnsi="Arial" w:cs="Arial"/>
          <w:lang w:val="en-US"/>
        </w:rPr>
      </w:pPr>
      <w:r w:rsidRPr="00D70B5B">
        <w:rPr>
          <w:rFonts w:ascii="Arial" w:hAnsi="Arial" w:cs="Arial"/>
          <w:lang w:val="en-US"/>
        </w:rPr>
        <w:t>Creation of a new toolkit column available in portfolio, reporting and compliance screens.</w:t>
      </w:r>
    </w:p>
    <w:p w:rsidR="00AD0DB8" w:rsidRPr="005E49C0" w:rsidRDefault="00AD0DB8" w:rsidP="00AD0DB8">
      <w:pPr>
        <w:rPr>
          <w:rFonts w:ascii="Arial" w:hAnsi="Arial" w:cs="Arial"/>
          <w:sz w:val="18"/>
          <w:lang w:val="en-US"/>
        </w:rPr>
      </w:pPr>
    </w:p>
    <w:p w:rsidR="00AD0DB8" w:rsidRDefault="00AD0DB8" w:rsidP="00AD0DB8">
      <w:pPr>
        <w:jc w:val="both"/>
        <w:rPr>
          <w:rFonts w:ascii="Arial" w:hAnsi="Arial" w:cs="Arial"/>
          <w:lang w:val="en-US"/>
        </w:rPr>
      </w:pPr>
      <w:r>
        <w:rPr>
          <w:rFonts w:ascii="Arial" w:hAnsi="Arial" w:cs="Arial"/>
          <w:lang w:val="en-US"/>
        </w:rPr>
        <w:t>All formulae below are in Absolute Value</w:t>
      </w:r>
    </w:p>
    <w:p w:rsidR="00AD0DB8" w:rsidRDefault="00AD0DB8" w:rsidP="00AD0DB8">
      <w:pPr>
        <w:jc w:val="both"/>
        <w:rPr>
          <w:rFonts w:ascii="Arial" w:hAnsi="Arial" w:cs="Arial"/>
          <w:lang w:val="en-US"/>
        </w:rPr>
      </w:pPr>
    </w:p>
    <w:tbl>
      <w:tblPr>
        <w:tblW w:w="5000" w:type="pct"/>
        <w:tblCellMar>
          <w:left w:w="70" w:type="dxa"/>
          <w:right w:w="70" w:type="dxa"/>
        </w:tblCellMar>
        <w:tblLook w:val="04A0" w:firstRow="1" w:lastRow="0" w:firstColumn="1" w:lastColumn="0" w:noHBand="0" w:noVBand="1"/>
      </w:tblPr>
      <w:tblGrid>
        <w:gridCol w:w="1885"/>
        <w:gridCol w:w="2516"/>
        <w:gridCol w:w="2795"/>
        <w:gridCol w:w="2442"/>
      </w:tblGrid>
      <w:tr w:rsidR="00AD0DB8" w:rsidRPr="00CF2B8D" w:rsidTr="00801EF2">
        <w:trPr>
          <w:trHeight w:val="300"/>
        </w:trPr>
        <w:tc>
          <w:tcPr>
            <w:tcW w:w="5000" w:type="pct"/>
            <w:gridSpan w:val="4"/>
            <w:tcBorders>
              <w:top w:val="nil"/>
              <w:left w:val="nil"/>
              <w:bottom w:val="single" w:sz="4" w:space="0" w:color="FFFFFF"/>
              <w:right w:val="nil"/>
            </w:tcBorders>
            <w:shd w:val="clear" w:color="000000" w:fill="9BC2E6"/>
            <w:noWrap/>
            <w:vAlign w:val="center"/>
            <w:hideMark/>
          </w:tcPr>
          <w:p w:rsidR="00AD0DB8" w:rsidRPr="00CF2B8D" w:rsidRDefault="00AD0DB8" w:rsidP="00801EF2">
            <w:pPr>
              <w:jc w:val="center"/>
              <w:rPr>
                <w:rFonts w:ascii="Calibri" w:hAnsi="Calibri"/>
                <w:b/>
                <w:bCs/>
                <w:color w:val="000000"/>
                <w:sz w:val="22"/>
                <w:szCs w:val="22"/>
              </w:rPr>
            </w:pPr>
            <w:r>
              <w:rPr>
                <w:rFonts w:ascii="Calibri" w:hAnsi="Calibri"/>
                <w:b/>
                <w:bCs/>
                <w:color w:val="000000"/>
                <w:sz w:val="22"/>
                <w:szCs w:val="22"/>
              </w:rPr>
              <w:t xml:space="preserve">TKO </w:t>
            </w:r>
            <w:proofErr w:type="spellStart"/>
            <w:r>
              <w:rPr>
                <w:rFonts w:ascii="Calibri" w:hAnsi="Calibri"/>
                <w:b/>
                <w:bCs/>
                <w:color w:val="000000"/>
                <w:sz w:val="22"/>
                <w:szCs w:val="22"/>
              </w:rPr>
              <w:t>Leverage</w:t>
            </w:r>
            <w:proofErr w:type="spellEnd"/>
            <w:r>
              <w:rPr>
                <w:rFonts w:ascii="Calibri" w:hAnsi="Calibri"/>
                <w:b/>
                <w:bCs/>
                <w:color w:val="000000"/>
                <w:sz w:val="22"/>
                <w:szCs w:val="22"/>
              </w:rPr>
              <w:t xml:space="preserve"> (</w:t>
            </w:r>
            <w:proofErr w:type="spellStart"/>
            <w:r>
              <w:rPr>
                <w:rFonts w:ascii="Calibri" w:hAnsi="Calibri"/>
                <w:b/>
                <w:bCs/>
                <w:color w:val="000000"/>
                <w:sz w:val="22"/>
                <w:szCs w:val="22"/>
              </w:rPr>
              <w:t>Notional</w:t>
            </w:r>
            <w:proofErr w:type="spellEnd"/>
            <w:r>
              <w:rPr>
                <w:rFonts w:ascii="Calibri" w:hAnsi="Calibri"/>
                <w:b/>
                <w:bCs/>
                <w:color w:val="000000"/>
                <w:sz w:val="22"/>
                <w:szCs w:val="22"/>
              </w:rPr>
              <w:t xml:space="preserve">) </w:t>
            </w:r>
          </w:p>
        </w:tc>
      </w:tr>
      <w:tr w:rsidR="00AD0DB8" w:rsidRPr="00CF2B8D" w:rsidTr="00801EF2">
        <w:trPr>
          <w:trHeight w:val="315"/>
        </w:trPr>
        <w:tc>
          <w:tcPr>
            <w:tcW w:w="978" w:type="pct"/>
            <w:tcBorders>
              <w:top w:val="nil"/>
              <w:left w:val="single" w:sz="8" w:space="0" w:color="FFFFFF"/>
              <w:bottom w:val="single" w:sz="8" w:space="0" w:color="FFFFFF"/>
              <w:right w:val="single" w:sz="8" w:space="0" w:color="FFFFFF"/>
            </w:tcBorders>
            <w:shd w:val="clear" w:color="000000" w:fill="9BC2E6"/>
            <w:noWrap/>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Product description</w:t>
            </w:r>
          </w:p>
        </w:tc>
        <w:tc>
          <w:tcPr>
            <w:tcW w:w="1305" w:type="pct"/>
            <w:tcBorders>
              <w:top w:val="nil"/>
              <w:left w:val="nil"/>
              <w:bottom w:val="single" w:sz="8" w:space="0" w:color="FFFFFF"/>
              <w:right w:val="single" w:sz="8" w:space="0" w:color="FFFFFF"/>
            </w:tcBorders>
            <w:shd w:val="clear" w:color="000000" w:fill="9BC2E6"/>
            <w:noWrap/>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Identification in Sophis</w:t>
            </w:r>
          </w:p>
        </w:tc>
        <w:tc>
          <w:tcPr>
            <w:tcW w:w="1450" w:type="pct"/>
            <w:tcBorders>
              <w:top w:val="nil"/>
              <w:left w:val="nil"/>
              <w:bottom w:val="single" w:sz="8" w:space="0" w:color="FFFFFF"/>
              <w:right w:val="single" w:sz="8" w:space="0" w:color="FFFFFF"/>
            </w:tcBorders>
            <w:shd w:val="clear" w:color="000000" w:fill="9BC2E6"/>
            <w:noWrap/>
            <w:vAlign w:val="center"/>
            <w:hideMark/>
          </w:tcPr>
          <w:p w:rsidR="00AD0DB8" w:rsidRPr="00CF2B8D" w:rsidRDefault="00AD0DB8" w:rsidP="00801EF2">
            <w:pPr>
              <w:rPr>
                <w:rFonts w:ascii="Calibri" w:hAnsi="Calibri"/>
                <w:b/>
                <w:bCs/>
                <w:color w:val="000000"/>
                <w:sz w:val="18"/>
                <w:szCs w:val="18"/>
              </w:rPr>
            </w:pPr>
            <w:r w:rsidRPr="0016146D">
              <w:rPr>
                <w:rFonts w:ascii="Calibri" w:hAnsi="Calibri"/>
                <w:b/>
                <w:bCs/>
                <w:color w:val="000000"/>
                <w:sz w:val="18"/>
                <w:szCs w:val="18"/>
              </w:rPr>
              <w:t xml:space="preserve">TKO </w:t>
            </w:r>
            <w:proofErr w:type="spellStart"/>
            <w:r w:rsidRPr="0016146D">
              <w:rPr>
                <w:rFonts w:ascii="Calibri" w:hAnsi="Calibri"/>
                <w:b/>
                <w:bCs/>
                <w:color w:val="000000"/>
                <w:sz w:val="18"/>
                <w:szCs w:val="18"/>
              </w:rPr>
              <w:t>Leverage</w:t>
            </w:r>
            <w:proofErr w:type="spellEnd"/>
            <w:r w:rsidRPr="0016146D">
              <w:rPr>
                <w:rFonts w:ascii="Calibri" w:hAnsi="Calibri"/>
                <w:b/>
                <w:bCs/>
                <w:color w:val="000000"/>
                <w:sz w:val="18"/>
                <w:szCs w:val="18"/>
              </w:rPr>
              <w:t xml:space="preserve"> (</w:t>
            </w:r>
            <w:proofErr w:type="spellStart"/>
            <w:r w:rsidRPr="0016146D">
              <w:rPr>
                <w:rFonts w:ascii="Calibri" w:hAnsi="Calibri"/>
                <w:b/>
                <w:bCs/>
                <w:color w:val="000000"/>
                <w:sz w:val="18"/>
                <w:szCs w:val="18"/>
              </w:rPr>
              <w:t>Notional</w:t>
            </w:r>
            <w:proofErr w:type="spellEnd"/>
            <w:r w:rsidRPr="0016146D">
              <w:rPr>
                <w:rFonts w:ascii="Calibri" w:hAnsi="Calibri"/>
                <w:b/>
                <w:bCs/>
                <w:color w:val="000000"/>
                <w:sz w:val="18"/>
                <w:szCs w:val="18"/>
              </w:rPr>
              <w:t>)</w:t>
            </w:r>
          </w:p>
        </w:tc>
        <w:tc>
          <w:tcPr>
            <w:tcW w:w="1267" w:type="pct"/>
            <w:tcBorders>
              <w:top w:val="nil"/>
              <w:left w:val="nil"/>
              <w:bottom w:val="single" w:sz="8" w:space="0" w:color="FFFFFF"/>
              <w:right w:val="single" w:sz="8" w:space="0" w:color="FFFFFF"/>
            </w:tcBorders>
            <w:shd w:val="clear" w:color="000000" w:fill="9BC2E6"/>
            <w:noWrap/>
            <w:vAlign w:val="center"/>
            <w:hideMark/>
          </w:tcPr>
          <w:p w:rsidR="00AD0DB8" w:rsidRPr="00CF2B8D" w:rsidRDefault="00AD0DB8" w:rsidP="00801EF2">
            <w:pPr>
              <w:rPr>
                <w:rFonts w:ascii="Calibri" w:hAnsi="Calibri"/>
                <w:b/>
                <w:bCs/>
                <w:color w:val="000000"/>
                <w:sz w:val="18"/>
                <w:szCs w:val="18"/>
              </w:rPr>
            </w:pPr>
            <w:proofErr w:type="spellStart"/>
            <w:r w:rsidRPr="00CF2B8D">
              <w:rPr>
                <w:rFonts w:ascii="Calibri" w:hAnsi="Calibri"/>
                <w:b/>
                <w:bCs/>
                <w:color w:val="000000"/>
                <w:sz w:val="18"/>
                <w:szCs w:val="18"/>
              </w:rPr>
              <w:t>Examples</w:t>
            </w:r>
            <w:proofErr w:type="spellEnd"/>
          </w:p>
        </w:tc>
      </w:tr>
      <w:tr w:rsidR="00AD0DB8" w:rsidRPr="00BA23F9" w:rsidTr="00801EF2">
        <w:trPr>
          <w:trHeight w:val="975"/>
        </w:trPr>
        <w:tc>
          <w:tcPr>
            <w:tcW w:w="978" w:type="pct"/>
            <w:tcBorders>
              <w:top w:val="nil"/>
              <w:left w:val="single" w:sz="8" w:space="0" w:color="FFFFFF"/>
              <w:bottom w:val="nil"/>
              <w:right w:val="single" w:sz="8" w:space="0" w:color="FFFFFF"/>
            </w:tcBorders>
            <w:shd w:val="clear" w:color="000000" w:fill="DDEBF7"/>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Direct Investment Securities</w:t>
            </w:r>
          </w:p>
        </w:tc>
        <w:tc>
          <w:tcPr>
            <w:tcW w:w="1305" w:type="pct"/>
            <w:tcBorders>
              <w:top w:val="nil"/>
              <w:left w:val="nil"/>
              <w:bottom w:val="nil"/>
              <w:right w:val="single" w:sz="8" w:space="0" w:color="FFFFFF"/>
            </w:tcBorders>
            <w:shd w:val="clear" w:color="000000" w:fill="DDEBF7"/>
            <w:vAlign w:val="center"/>
            <w:hideMark/>
          </w:tcPr>
          <w:p w:rsidR="00AD0DB8" w:rsidRPr="00CF2B8D" w:rsidRDefault="00AD0DB8" w:rsidP="00801EF2">
            <w:pPr>
              <w:rPr>
                <w:rFonts w:ascii="Calibri" w:hAnsi="Calibri"/>
                <w:b/>
                <w:bCs/>
                <w:color w:val="000000"/>
                <w:sz w:val="18"/>
                <w:szCs w:val="18"/>
                <w:lang w:val="en-US"/>
              </w:rPr>
            </w:pPr>
            <w:r w:rsidRPr="00CF2B8D">
              <w:rPr>
                <w:rFonts w:ascii="Calibri" w:hAnsi="Calibri"/>
                <w:b/>
                <w:bCs/>
                <w:color w:val="000000"/>
                <w:sz w:val="18"/>
                <w:szCs w:val="18"/>
                <w:lang w:val="en-US"/>
              </w:rPr>
              <w:t>Direct investment securities</w:t>
            </w:r>
            <w:r w:rsidRPr="00CF2B8D">
              <w:rPr>
                <w:rFonts w:ascii="Calibri" w:hAnsi="Calibri"/>
                <w:b/>
                <w:bCs/>
                <w:color w:val="000000"/>
                <w:sz w:val="18"/>
                <w:szCs w:val="18"/>
                <w:lang w:val="en-US"/>
              </w:rPr>
              <w:br/>
              <w:t>Instrument type =  Bonds, Shares, Fund Classes, External Funds, Internal Funds</w:t>
            </w:r>
            <w:r>
              <w:rPr>
                <w:rFonts w:ascii="Calibri" w:hAnsi="Calibri"/>
                <w:b/>
                <w:bCs/>
                <w:color w:val="000000"/>
                <w:sz w:val="18"/>
                <w:szCs w:val="18"/>
                <w:lang w:val="en-US"/>
              </w:rPr>
              <w:t xml:space="preserve">, ABS Bonds, Commissions, Indexes and baskets, </w:t>
            </w:r>
            <w:r w:rsidRPr="00CF2B8D">
              <w:rPr>
                <w:rFonts w:ascii="Calibri" w:hAnsi="Calibri"/>
                <w:b/>
                <w:bCs/>
                <w:color w:val="000000"/>
                <w:sz w:val="18"/>
                <w:szCs w:val="18"/>
                <w:lang w:val="en-US"/>
              </w:rPr>
              <w:t xml:space="preserve"> and debt instruments templates)</w:t>
            </w:r>
          </w:p>
        </w:tc>
        <w:tc>
          <w:tcPr>
            <w:tcW w:w="1450" w:type="pct"/>
            <w:tcBorders>
              <w:top w:val="nil"/>
              <w:left w:val="nil"/>
              <w:bottom w:val="nil"/>
              <w:right w:val="single" w:sz="8" w:space="0" w:color="FFFFFF"/>
            </w:tcBorders>
            <w:shd w:val="clear" w:color="000000" w:fill="DDEBF7"/>
            <w:vAlign w:val="center"/>
            <w:hideMark/>
          </w:tcPr>
          <w:p w:rsidR="00AD0DB8" w:rsidRPr="00CF2B8D" w:rsidRDefault="00AD0DB8" w:rsidP="00801EF2">
            <w:pPr>
              <w:rPr>
                <w:rFonts w:ascii="Calibri" w:hAnsi="Calibri"/>
                <w:color w:val="000000"/>
                <w:sz w:val="18"/>
                <w:szCs w:val="18"/>
                <w:lang w:val="en-US"/>
              </w:rPr>
            </w:pPr>
            <w:r w:rsidRPr="00CF2B8D">
              <w:rPr>
                <w:rFonts w:ascii="Calibri" w:hAnsi="Calibri"/>
                <w:color w:val="000000"/>
                <w:sz w:val="18"/>
                <w:szCs w:val="18"/>
                <w:lang w:val="en-US"/>
              </w:rPr>
              <w:t>0</w:t>
            </w:r>
            <w:r w:rsidRPr="00CF2B8D">
              <w:rPr>
                <w:rFonts w:ascii="Calibri" w:hAnsi="Calibri"/>
                <w:color w:val="000000"/>
                <w:sz w:val="18"/>
                <w:szCs w:val="18"/>
                <w:lang w:val="en-US"/>
              </w:rPr>
              <w:br/>
              <w:t xml:space="preserve">(This includes, Corp Bonds, all OPCVM allotments, </w:t>
            </w:r>
            <w:proofErr w:type="spellStart"/>
            <w:r w:rsidRPr="00CF2B8D">
              <w:rPr>
                <w:rFonts w:ascii="Calibri" w:hAnsi="Calibri"/>
                <w:color w:val="000000"/>
                <w:sz w:val="18"/>
                <w:szCs w:val="18"/>
                <w:lang w:val="en-US"/>
              </w:rPr>
              <w:t>Gov</w:t>
            </w:r>
            <w:proofErr w:type="spellEnd"/>
            <w:r w:rsidRPr="00CF2B8D">
              <w:rPr>
                <w:rFonts w:ascii="Calibri" w:hAnsi="Calibri"/>
                <w:color w:val="000000"/>
                <w:sz w:val="18"/>
                <w:szCs w:val="18"/>
                <w:lang w:val="en-US"/>
              </w:rPr>
              <w:t xml:space="preserve"> Bonds, OTC loans, TCN…)</w:t>
            </w:r>
          </w:p>
        </w:tc>
        <w:tc>
          <w:tcPr>
            <w:tcW w:w="1267" w:type="pct"/>
            <w:tcBorders>
              <w:top w:val="nil"/>
              <w:left w:val="nil"/>
              <w:bottom w:val="nil"/>
              <w:right w:val="single" w:sz="8" w:space="0" w:color="FFFFFF"/>
            </w:tcBorders>
            <w:shd w:val="clear" w:color="000000" w:fill="DDEBF7"/>
            <w:vAlign w:val="center"/>
            <w:hideMark/>
          </w:tcPr>
          <w:p w:rsidR="00AD0DB8" w:rsidRPr="00CF2B8D" w:rsidRDefault="00AD0DB8" w:rsidP="00801EF2">
            <w:pPr>
              <w:rPr>
                <w:rFonts w:ascii="Calibri" w:hAnsi="Calibri"/>
                <w:color w:val="000000"/>
                <w:sz w:val="18"/>
                <w:szCs w:val="18"/>
                <w:lang w:val="en-US"/>
              </w:rPr>
            </w:pPr>
            <w:r w:rsidRPr="00CF2B8D">
              <w:rPr>
                <w:rFonts w:ascii="Calibri" w:hAnsi="Calibri"/>
                <w:color w:val="000000"/>
                <w:sz w:val="18"/>
                <w:szCs w:val="18"/>
                <w:lang w:val="en-US"/>
              </w:rPr>
              <w:t>Bonds: FR0123253389 Corp</w:t>
            </w:r>
            <w:r w:rsidRPr="00CF2B8D">
              <w:rPr>
                <w:rFonts w:ascii="Calibri" w:hAnsi="Calibri"/>
                <w:color w:val="000000"/>
                <w:sz w:val="18"/>
                <w:szCs w:val="18"/>
                <w:lang w:val="en-US"/>
              </w:rPr>
              <w:br/>
              <w:t>Term Loans: LOAN_MATERNE</w:t>
            </w:r>
            <w:r w:rsidRPr="00CF2B8D">
              <w:rPr>
                <w:rFonts w:ascii="Calibri" w:hAnsi="Calibri"/>
                <w:color w:val="000000"/>
                <w:sz w:val="18"/>
                <w:szCs w:val="18"/>
                <w:lang w:val="en-US"/>
              </w:rPr>
              <w:br/>
              <w:t xml:space="preserve">Shares: MCD US Equity </w:t>
            </w:r>
            <w:r w:rsidRPr="00CF2B8D">
              <w:rPr>
                <w:rFonts w:ascii="Calibri" w:hAnsi="Calibri"/>
                <w:color w:val="000000"/>
                <w:sz w:val="18"/>
                <w:szCs w:val="18"/>
                <w:lang w:val="en-US"/>
              </w:rPr>
              <w:br/>
              <w:t>Debt Instruments: FR0123093520 Corp</w:t>
            </w:r>
          </w:p>
        </w:tc>
      </w:tr>
      <w:tr w:rsidR="00AD0DB8" w:rsidRPr="00BA23F9" w:rsidTr="00801EF2">
        <w:trPr>
          <w:trHeight w:val="720"/>
        </w:trPr>
        <w:tc>
          <w:tcPr>
            <w:tcW w:w="978" w:type="pct"/>
            <w:tcBorders>
              <w:top w:val="single" w:sz="8" w:space="0" w:color="FFFFFF"/>
              <w:left w:val="single" w:sz="8" w:space="0" w:color="FFFFFF"/>
              <w:bottom w:val="nil"/>
              <w:right w:val="single" w:sz="8" w:space="0" w:color="FFFFFF"/>
            </w:tcBorders>
            <w:shd w:val="clear" w:color="auto" w:fill="auto"/>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Options</w:t>
            </w:r>
          </w:p>
        </w:tc>
        <w:tc>
          <w:tcPr>
            <w:tcW w:w="1305" w:type="pct"/>
            <w:tcBorders>
              <w:top w:val="single" w:sz="8" w:space="0" w:color="FFFFFF"/>
              <w:left w:val="nil"/>
              <w:bottom w:val="nil"/>
              <w:right w:val="single" w:sz="8" w:space="0" w:color="FFFFFF"/>
            </w:tcBorders>
            <w:shd w:val="clear" w:color="auto" w:fill="auto"/>
            <w:vAlign w:val="center"/>
            <w:hideMark/>
          </w:tcPr>
          <w:p w:rsidR="00AD0DB8" w:rsidRPr="00CF2B8D" w:rsidRDefault="00AD0DB8" w:rsidP="00801EF2">
            <w:pPr>
              <w:rPr>
                <w:rFonts w:ascii="Calibri" w:hAnsi="Calibri"/>
                <w:b/>
                <w:bCs/>
                <w:color w:val="000000"/>
                <w:sz w:val="18"/>
                <w:szCs w:val="18"/>
                <w:lang w:val="en-US"/>
              </w:rPr>
            </w:pPr>
            <w:r w:rsidRPr="00CF2B8D">
              <w:rPr>
                <w:rFonts w:ascii="Calibri" w:hAnsi="Calibri"/>
                <w:b/>
                <w:bCs/>
                <w:color w:val="000000"/>
                <w:sz w:val="18"/>
                <w:szCs w:val="18"/>
                <w:lang w:val="en-US"/>
              </w:rPr>
              <w:t>Instrument type= Listed Options, Stock derivatives</w:t>
            </w:r>
          </w:p>
        </w:tc>
        <w:tc>
          <w:tcPr>
            <w:tcW w:w="1450" w:type="pct"/>
            <w:tcBorders>
              <w:top w:val="single" w:sz="8" w:space="0" w:color="FFFFFF"/>
              <w:left w:val="nil"/>
              <w:bottom w:val="nil"/>
              <w:right w:val="single" w:sz="8" w:space="0" w:color="FFFFFF"/>
            </w:tcBorders>
            <w:shd w:val="clear" w:color="auto" w:fill="auto"/>
            <w:vAlign w:val="center"/>
            <w:hideMark/>
          </w:tcPr>
          <w:p w:rsidR="00AD0DB8" w:rsidRPr="00CF2B8D" w:rsidRDefault="00AD0DB8" w:rsidP="00801EF2">
            <w:pPr>
              <w:rPr>
                <w:rFonts w:ascii="Calibri" w:hAnsi="Calibri"/>
                <w:color w:val="000000"/>
                <w:sz w:val="18"/>
                <w:szCs w:val="18"/>
                <w:lang w:val="en-US"/>
              </w:rPr>
            </w:pPr>
            <w:r w:rsidRPr="00CF2B8D">
              <w:rPr>
                <w:rFonts w:ascii="Calibri" w:hAnsi="Calibri"/>
                <w:color w:val="000000"/>
                <w:sz w:val="18"/>
                <w:szCs w:val="18"/>
                <w:lang w:val="en-US"/>
              </w:rPr>
              <w:t>underlying Last * Number of securities*Contract size</w:t>
            </w:r>
          </w:p>
        </w:tc>
        <w:tc>
          <w:tcPr>
            <w:tcW w:w="1267" w:type="pct"/>
            <w:tcBorders>
              <w:top w:val="nil"/>
              <w:left w:val="nil"/>
              <w:bottom w:val="nil"/>
              <w:right w:val="nil"/>
            </w:tcBorders>
            <w:shd w:val="clear" w:color="auto" w:fill="auto"/>
            <w:vAlign w:val="center"/>
            <w:hideMark/>
          </w:tcPr>
          <w:p w:rsidR="00AD0DB8" w:rsidRPr="00CF2B8D" w:rsidRDefault="00AD0DB8" w:rsidP="00801EF2">
            <w:pPr>
              <w:rPr>
                <w:rFonts w:ascii="Calibri" w:hAnsi="Calibri"/>
                <w:color w:val="000000"/>
                <w:sz w:val="18"/>
                <w:szCs w:val="18"/>
                <w:lang w:val="en-US"/>
              </w:rPr>
            </w:pPr>
            <w:r w:rsidRPr="00CF2B8D">
              <w:rPr>
                <w:rFonts w:ascii="Calibri" w:hAnsi="Calibri"/>
                <w:color w:val="000000"/>
                <w:sz w:val="18"/>
                <w:szCs w:val="18"/>
                <w:lang w:val="en-US"/>
              </w:rPr>
              <w:t>SX5E 18/12/15 C 4000</w:t>
            </w:r>
            <w:r w:rsidRPr="00CF2B8D">
              <w:rPr>
                <w:rFonts w:ascii="Calibri" w:hAnsi="Calibri"/>
                <w:color w:val="000000"/>
                <w:sz w:val="18"/>
                <w:szCs w:val="18"/>
                <w:lang w:val="en-US"/>
              </w:rPr>
              <w:br/>
              <w:t>IDZ5C 12500 index</w:t>
            </w:r>
            <w:r w:rsidRPr="00CF2B8D">
              <w:rPr>
                <w:rFonts w:ascii="Calibri" w:hAnsi="Calibri"/>
                <w:color w:val="000000"/>
                <w:sz w:val="18"/>
                <w:szCs w:val="18"/>
                <w:lang w:val="en-US"/>
              </w:rPr>
              <w:br/>
              <w:t>ALK US 07/17/15 P45</w:t>
            </w:r>
          </w:p>
        </w:tc>
      </w:tr>
      <w:tr w:rsidR="00AD0DB8" w:rsidRPr="00CF2B8D" w:rsidTr="00801EF2">
        <w:trPr>
          <w:trHeight w:val="315"/>
        </w:trPr>
        <w:tc>
          <w:tcPr>
            <w:tcW w:w="978" w:type="pct"/>
            <w:tcBorders>
              <w:top w:val="nil"/>
              <w:left w:val="single" w:sz="8" w:space="0" w:color="FFFFFF"/>
              <w:bottom w:val="single" w:sz="8" w:space="0" w:color="FFFFFF"/>
              <w:right w:val="single" w:sz="8" w:space="0" w:color="FFFFFF"/>
            </w:tcBorders>
            <w:shd w:val="clear" w:color="000000" w:fill="DDEBF7"/>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Forex</w:t>
            </w:r>
          </w:p>
        </w:tc>
        <w:tc>
          <w:tcPr>
            <w:tcW w:w="1305" w:type="pct"/>
            <w:tcBorders>
              <w:top w:val="nil"/>
              <w:left w:val="nil"/>
              <w:bottom w:val="single" w:sz="8" w:space="0" w:color="FFFFFF"/>
              <w:right w:val="single" w:sz="8" w:space="0" w:color="FFFFFF"/>
            </w:tcBorders>
            <w:shd w:val="clear" w:color="000000" w:fill="DDEBF7"/>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Instrument type= Forex</w:t>
            </w:r>
          </w:p>
        </w:tc>
        <w:tc>
          <w:tcPr>
            <w:tcW w:w="1450" w:type="pct"/>
            <w:tcBorders>
              <w:top w:val="nil"/>
              <w:left w:val="nil"/>
              <w:bottom w:val="single" w:sz="8" w:space="0" w:color="FFFFFF"/>
              <w:right w:val="nil"/>
            </w:tcBorders>
            <w:shd w:val="clear" w:color="000000" w:fill="DDEBF7"/>
            <w:vAlign w:val="center"/>
            <w:hideMark/>
          </w:tcPr>
          <w:p w:rsidR="00AD0DB8" w:rsidRPr="00CF2B8D" w:rsidRDefault="00AD0DB8" w:rsidP="00801EF2">
            <w:pPr>
              <w:jc w:val="right"/>
              <w:rPr>
                <w:rFonts w:ascii="Calibri" w:hAnsi="Calibri"/>
                <w:color w:val="000000"/>
                <w:sz w:val="18"/>
                <w:szCs w:val="18"/>
              </w:rPr>
            </w:pPr>
            <w:r w:rsidRPr="00CF2B8D">
              <w:rPr>
                <w:rFonts w:ascii="Calibri" w:hAnsi="Calibri"/>
                <w:color w:val="000000"/>
                <w:sz w:val="18"/>
                <w:szCs w:val="18"/>
              </w:rPr>
              <w:t>0</w:t>
            </w:r>
          </w:p>
        </w:tc>
        <w:tc>
          <w:tcPr>
            <w:tcW w:w="1267" w:type="pct"/>
            <w:tcBorders>
              <w:top w:val="nil"/>
              <w:left w:val="single" w:sz="8" w:space="0" w:color="FFFFFF"/>
              <w:bottom w:val="single" w:sz="8" w:space="0" w:color="FFFFFF"/>
              <w:right w:val="nil"/>
            </w:tcBorders>
            <w:shd w:val="clear" w:color="000000" w:fill="DDEBF7"/>
            <w:vAlign w:val="center"/>
            <w:hideMark/>
          </w:tcPr>
          <w:p w:rsidR="00AD0DB8" w:rsidRPr="00CF2B8D" w:rsidRDefault="00AD0DB8" w:rsidP="00801EF2">
            <w:pPr>
              <w:rPr>
                <w:rFonts w:ascii="Calibri" w:hAnsi="Calibri"/>
                <w:color w:val="000000"/>
                <w:sz w:val="18"/>
                <w:szCs w:val="18"/>
              </w:rPr>
            </w:pPr>
            <w:r w:rsidRPr="00CF2B8D">
              <w:rPr>
                <w:rFonts w:ascii="Calibri" w:hAnsi="Calibri"/>
                <w:color w:val="000000"/>
                <w:sz w:val="18"/>
                <w:szCs w:val="18"/>
              </w:rPr>
              <w:t>CAD versus CHF</w:t>
            </w:r>
          </w:p>
        </w:tc>
      </w:tr>
      <w:tr w:rsidR="00AD0DB8" w:rsidRPr="00CF2B8D" w:rsidTr="00801EF2">
        <w:trPr>
          <w:trHeight w:val="315"/>
        </w:trPr>
        <w:tc>
          <w:tcPr>
            <w:tcW w:w="978" w:type="pct"/>
            <w:tcBorders>
              <w:top w:val="nil"/>
              <w:left w:val="single" w:sz="8" w:space="0" w:color="FFFFFF"/>
              <w:bottom w:val="single" w:sz="8" w:space="0" w:color="FFFFFF"/>
              <w:right w:val="single" w:sz="8" w:space="0" w:color="FFFFFF"/>
            </w:tcBorders>
            <w:shd w:val="clear" w:color="auto" w:fill="auto"/>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FX options</w:t>
            </w:r>
          </w:p>
        </w:tc>
        <w:tc>
          <w:tcPr>
            <w:tcW w:w="1305" w:type="pct"/>
            <w:tcBorders>
              <w:top w:val="nil"/>
              <w:left w:val="nil"/>
              <w:bottom w:val="single" w:sz="8" w:space="0" w:color="FFFFFF"/>
              <w:right w:val="single" w:sz="8" w:space="0" w:color="FFFFFF"/>
            </w:tcBorders>
            <w:shd w:val="clear" w:color="auto" w:fill="auto"/>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Instrument Type= Exchange Rate Options</w:t>
            </w:r>
          </w:p>
        </w:tc>
        <w:tc>
          <w:tcPr>
            <w:tcW w:w="1450" w:type="pct"/>
            <w:tcBorders>
              <w:top w:val="nil"/>
              <w:left w:val="nil"/>
              <w:bottom w:val="single" w:sz="8" w:space="0" w:color="FFFFFF"/>
              <w:right w:val="nil"/>
            </w:tcBorders>
            <w:shd w:val="clear" w:color="auto" w:fill="auto"/>
            <w:vAlign w:val="center"/>
            <w:hideMark/>
          </w:tcPr>
          <w:p w:rsidR="00AD0DB8" w:rsidRPr="00CF2B8D" w:rsidRDefault="00AD0DB8" w:rsidP="00801EF2">
            <w:pPr>
              <w:rPr>
                <w:rFonts w:ascii="Calibri" w:hAnsi="Calibri"/>
                <w:color w:val="000000"/>
                <w:sz w:val="18"/>
                <w:szCs w:val="18"/>
              </w:rPr>
            </w:pPr>
            <w:r>
              <w:rPr>
                <w:rFonts w:ascii="Calibri" w:hAnsi="Calibri"/>
                <w:color w:val="000000"/>
                <w:sz w:val="18"/>
                <w:szCs w:val="18"/>
              </w:rPr>
              <w:t>Nominal</w:t>
            </w:r>
          </w:p>
        </w:tc>
        <w:tc>
          <w:tcPr>
            <w:tcW w:w="1267" w:type="pct"/>
            <w:tcBorders>
              <w:top w:val="nil"/>
              <w:left w:val="single" w:sz="8" w:space="0" w:color="FFFFFF"/>
              <w:bottom w:val="single" w:sz="8" w:space="0" w:color="FFFFFF"/>
              <w:right w:val="nil"/>
            </w:tcBorders>
            <w:shd w:val="clear" w:color="auto" w:fill="auto"/>
            <w:vAlign w:val="center"/>
            <w:hideMark/>
          </w:tcPr>
          <w:p w:rsidR="00AD0DB8" w:rsidRPr="00CF2B8D" w:rsidRDefault="00AD0DB8" w:rsidP="00801EF2">
            <w:pPr>
              <w:rPr>
                <w:rFonts w:ascii="Calibri" w:hAnsi="Calibri"/>
                <w:color w:val="000000"/>
                <w:sz w:val="18"/>
                <w:szCs w:val="18"/>
              </w:rPr>
            </w:pPr>
            <w:r w:rsidRPr="00CF2B8D">
              <w:rPr>
                <w:rFonts w:ascii="Calibri" w:hAnsi="Calibri"/>
                <w:color w:val="000000"/>
                <w:sz w:val="18"/>
                <w:szCs w:val="18"/>
              </w:rPr>
              <w:t xml:space="preserve">ECH5C 1.285 COMB </w:t>
            </w:r>
            <w:proofErr w:type="spellStart"/>
            <w:r w:rsidRPr="00CF2B8D">
              <w:rPr>
                <w:rFonts w:ascii="Calibri" w:hAnsi="Calibri"/>
                <w:color w:val="000000"/>
                <w:sz w:val="18"/>
                <w:szCs w:val="18"/>
              </w:rPr>
              <w:t>curncy</w:t>
            </w:r>
            <w:proofErr w:type="spellEnd"/>
          </w:p>
        </w:tc>
      </w:tr>
      <w:tr w:rsidR="00AD0DB8" w:rsidRPr="00604DA2" w:rsidTr="00801EF2">
        <w:trPr>
          <w:trHeight w:val="495"/>
        </w:trPr>
        <w:tc>
          <w:tcPr>
            <w:tcW w:w="978" w:type="pct"/>
            <w:tcBorders>
              <w:top w:val="nil"/>
              <w:left w:val="single" w:sz="8" w:space="0" w:color="FFFFFF"/>
              <w:bottom w:val="single" w:sz="8" w:space="0" w:color="FFFFFF"/>
              <w:right w:val="single" w:sz="8" w:space="0" w:color="FFFFFF"/>
            </w:tcBorders>
            <w:shd w:val="clear" w:color="000000" w:fill="DDEBF7"/>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FX forwards</w:t>
            </w:r>
          </w:p>
        </w:tc>
        <w:tc>
          <w:tcPr>
            <w:tcW w:w="1305" w:type="pct"/>
            <w:tcBorders>
              <w:top w:val="nil"/>
              <w:left w:val="nil"/>
              <w:bottom w:val="single" w:sz="8" w:space="0" w:color="FFFFFF"/>
              <w:right w:val="single" w:sz="8" w:space="0" w:color="FFFFFF"/>
            </w:tcBorders>
            <w:shd w:val="clear" w:color="000000" w:fill="DDEBF7"/>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lang w:val="en-US"/>
              </w:rPr>
              <w:t>Instrument type= Forward Forex</w:t>
            </w:r>
          </w:p>
        </w:tc>
        <w:tc>
          <w:tcPr>
            <w:tcW w:w="1450" w:type="pct"/>
            <w:tcBorders>
              <w:top w:val="nil"/>
              <w:left w:val="nil"/>
              <w:bottom w:val="single" w:sz="8" w:space="0" w:color="FFFFFF"/>
              <w:right w:val="nil"/>
            </w:tcBorders>
            <w:shd w:val="clear" w:color="000000" w:fill="DDEBF7"/>
            <w:vAlign w:val="center"/>
            <w:hideMark/>
          </w:tcPr>
          <w:p w:rsidR="00AD0DB8" w:rsidRDefault="00AD0DB8" w:rsidP="00801EF2">
            <w:pPr>
              <w:rPr>
                <w:rFonts w:ascii="Calibri" w:hAnsi="Calibri"/>
                <w:color w:val="000000"/>
                <w:sz w:val="18"/>
                <w:szCs w:val="18"/>
                <w:lang w:val="en-US"/>
              </w:rPr>
            </w:pPr>
            <w:r>
              <w:rPr>
                <w:rFonts w:ascii="Calibri" w:hAnsi="Calibri"/>
                <w:color w:val="000000"/>
                <w:sz w:val="18"/>
                <w:szCs w:val="18"/>
                <w:lang w:val="en-US"/>
              </w:rPr>
              <w:t xml:space="preserve">For a FX forward in currencies XX (e.g. USD) Versus YY (e.g. GBP). </w:t>
            </w:r>
          </w:p>
          <w:p w:rsidR="00AD0DB8" w:rsidRDefault="00BA23F9" w:rsidP="00801EF2">
            <w:pPr>
              <w:rPr>
                <w:rFonts w:ascii="Calibri" w:hAnsi="Calibri"/>
                <w:color w:val="000000"/>
                <w:sz w:val="18"/>
                <w:szCs w:val="18"/>
                <w:lang w:val="en-US"/>
              </w:rPr>
            </w:pPr>
            <w:r>
              <w:rPr>
                <w:rFonts w:ascii="Calibri" w:hAnsi="Calibri"/>
                <w:color w:val="000000"/>
                <w:sz w:val="18"/>
                <w:szCs w:val="18"/>
                <w:lang w:val="en-US"/>
              </w:rPr>
              <w:t>Leverage</w:t>
            </w:r>
            <w:r w:rsidR="00AD0DB8">
              <w:rPr>
                <w:rFonts w:ascii="Calibri" w:hAnsi="Calibri"/>
                <w:color w:val="000000"/>
                <w:sz w:val="18"/>
                <w:szCs w:val="18"/>
                <w:lang w:val="en-US"/>
              </w:rPr>
              <w:t xml:space="preserve"> = </w:t>
            </w:r>
            <w:r>
              <w:rPr>
                <w:rFonts w:ascii="Calibri" w:hAnsi="Calibri"/>
                <w:color w:val="000000"/>
                <w:sz w:val="18"/>
                <w:szCs w:val="18"/>
                <w:lang w:val="en-US"/>
              </w:rPr>
              <w:t>(</w:t>
            </w:r>
            <w:r w:rsidR="00AD0DB8">
              <w:rPr>
                <w:rFonts w:ascii="Calibri" w:hAnsi="Calibri"/>
                <w:color w:val="000000"/>
                <w:sz w:val="18"/>
                <w:szCs w:val="18"/>
                <w:lang w:val="en-US"/>
              </w:rPr>
              <w:t>A*ABS(Sum (Amounts in XX )) + B*ABS(Sum(Amounts in YY))</w:t>
            </w:r>
            <w:r>
              <w:rPr>
                <w:rFonts w:ascii="Calibri" w:hAnsi="Calibri"/>
                <w:color w:val="000000"/>
                <w:sz w:val="18"/>
                <w:szCs w:val="18"/>
                <w:lang w:val="en-US"/>
              </w:rPr>
              <w:t>) converted to the position currency (XX or YY)</w:t>
            </w:r>
          </w:p>
          <w:p w:rsidR="00AD0DB8" w:rsidRDefault="00AD0DB8" w:rsidP="00801EF2">
            <w:pPr>
              <w:rPr>
                <w:rFonts w:ascii="Calibri" w:hAnsi="Calibri"/>
                <w:color w:val="000000"/>
                <w:sz w:val="18"/>
                <w:szCs w:val="18"/>
                <w:lang w:val="en-US"/>
              </w:rPr>
            </w:pPr>
            <w:r>
              <w:rPr>
                <w:rFonts w:ascii="Calibri" w:hAnsi="Calibri"/>
                <w:color w:val="000000"/>
                <w:sz w:val="18"/>
                <w:szCs w:val="18"/>
                <w:lang w:val="en-US"/>
              </w:rPr>
              <w:t>With :</w:t>
            </w:r>
          </w:p>
          <w:p w:rsidR="00AD0DB8" w:rsidRDefault="00AD0DB8" w:rsidP="00801EF2">
            <w:pPr>
              <w:rPr>
                <w:rFonts w:ascii="Calibri" w:hAnsi="Calibri"/>
                <w:color w:val="000000"/>
                <w:sz w:val="18"/>
                <w:szCs w:val="18"/>
                <w:lang w:val="en-US"/>
              </w:rPr>
            </w:pPr>
            <w:r>
              <w:rPr>
                <w:rFonts w:ascii="Calibri" w:hAnsi="Calibri"/>
                <w:color w:val="000000"/>
                <w:sz w:val="18"/>
                <w:szCs w:val="18"/>
                <w:lang w:val="en-US"/>
              </w:rPr>
              <w:t>A = 0 if XX =Fund Currency , else 1</w:t>
            </w:r>
          </w:p>
          <w:p w:rsidR="00AD0DB8" w:rsidRPr="00CF2B8D" w:rsidRDefault="00AD0DB8" w:rsidP="00801EF2">
            <w:pPr>
              <w:rPr>
                <w:rFonts w:ascii="Calibri" w:hAnsi="Calibri"/>
                <w:color w:val="000000"/>
                <w:sz w:val="18"/>
                <w:szCs w:val="18"/>
                <w:lang w:val="en-US"/>
              </w:rPr>
            </w:pPr>
            <w:r>
              <w:rPr>
                <w:rFonts w:ascii="Calibri" w:hAnsi="Calibri"/>
                <w:color w:val="000000"/>
                <w:sz w:val="18"/>
                <w:szCs w:val="18"/>
                <w:lang w:val="en-US"/>
              </w:rPr>
              <w:t>B = 0 If YY = Fund Currency, Else 1</w:t>
            </w:r>
          </w:p>
        </w:tc>
        <w:tc>
          <w:tcPr>
            <w:tcW w:w="1267" w:type="pct"/>
            <w:tcBorders>
              <w:top w:val="nil"/>
              <w:left w:val="single" w:sz="8" w:space="0" w:color="FFFFFF"/>
              <w:bottom w:val="single" w:sz="8" w:space="0" w:color="FFFFFF"/>
              <w:right w:val="nil"/>
            </w:tcBorders>
            <w:shd w:val="clear" w:color="000000" w:fill="DDEBF7"/>
            <w:vAlign w:val="center"/>
            <w:hideMark/>
          </w:tcPr>
          <w:p w:rsidR="00AD0DB8" w:rsidRPr="00604DA2" w:rsidRDefault="00AD0DB8" w:rsidP="00801EF2">
            <w:pPr>
              <w:rPr>
                <w:rFonts w:ascii="Calibri" w:hAnsi="Calibri"/>
                <w:color w:val="000000"/>
                <w:sz w:val="18"/>
                <w:szCs w:val="18"/>
                <w:lang w:val="en-US"/>
              </w:rPr>
            </w:pPr>
            <w:r w:rsidRPr="00604DA2">
              <w:rPr>
                <w:rFonts w:ascii="Calibri" w:hAnsi="Calibri"/>
                <w:color w:val="000000"/>
                <w:sz w:val="18"/>
                <w:szCs w:val="18"/>
                <w:lang w:val="en-US"/>
              </w:rPr>
              <w:t>USD versus EUR 2015/09/09</w:t>
            </w:r>
          </w:p>
        </w:tc>
      </w:tr>
      <w:tr w:rsidR="00AD0DB8" w:rsidRPr="00CF2B8D" w:rsidTr="00801EF2">
        <w:trPr>
          <w:trHeight w:val="315"/>
        </w:trPr>
        <w:tc>
          <w:tcPr>
            <w:tcW w:w="978" w:type="pct"/>
            <w:tcBorders>
              <w:top w:val="nil"/>
              <w:left w:val="single" w:sz="8" w:space="0" w:color="FFFFFF"/>
              <w:bottom w:val="single" w:sz="8" w:space="0" w:color="FFFFFF"/>
              <w:right w:val="single" w:sz="8" w:space="0" w:color="FFFFFF"/>
            </w:tcBorders>
            <w:shd w:val="clear" w:color="auto" w:fill="auto"/>
            <w:vAlign w:val="center"/>
            <w:hideMark/>
          </w:tcPr>
          <w:p w:rsidR="00AD0DB8" w:rsidRPr="00604DA2" w:rsidRDefault="00AD0DB8" w:rsidP="00801EF2">
            <w:pPr>
              <w:rPr>
                <w:rFonts w:ascii="Calibri" w:hAnsi="Calibri"/>
                <w:b/>
                <w:bCs/>
                <w:color w:val="000000"/>
                <w:sz w:val="18"/>
                <w:szCs w:val="18"/>
                <w:lang w:val="en-US"/>
              </w:rPr>
            </w:pPr>
            <w:r w:rsidRPr="00604DA2">
              <w:rPr>
                <w:rFonts w:ascii="Calibri" w:hAnsi="Calibri"/>
                <w:b/>
                <w:bCs/>
                <w:color w:val="000000"/>
                <w:sz w:val="18"/>
                <w:szCs w:val="18"/>
                <w:lang w:val="en-US"/>
              </w:rPr>
              <w:t>Index futures</w:t>
            </w:r>
          </w:p>
        </w:tc>
        <w:tc>
          <w:tcPr>
            <w:tcW w:w="1305" w:type="pct"/>
            <w:tcBorders>
              <w:top w:val="nil"/>
              <w:left w:val="nil"/>
              <w:bottom w:val="single" w:sz="8" w:space="0" w:color="FFFFFF"/>
              <w:right w:val="single" w:sz="8" w:space="0" w:color="FFFFFF"/>
            </w:tcBorders>
            <w:shd w:val="clear" w:color="auto" w:fill="auto"/>
            <w:vAlign w:val="center"/>
            <w:hideMark/>
          </w:tcPr>
          <w:p w:rsidR="00AD0DB8" w:rsidRPr="00604DA2" w:rsidRDefault="00AD0DB8" w:rsidP="00801EF2">
            <w:pPr>
              <w:rPr>
                <w:rFonts w:ascii="Calibri" w:hAnsi="Calibri"/>
                <w:b/>
                <w:bCs/>
                <w:color w:val="000000"/>
                <w:sz w:val="18"/>
                <w:szCs w:val="18"/>
                <w:lang w:val="en-US"/>
              </w:rPr>
            </w:pPr>
            <w:r w:rsidRPr="00604DA2">
              <w:rPr>
                <w:rFonts w:ascii="Calibri" w:hAnsi="Calibri"/>
                <w:b/>
                <w:bCs/>
                <w:color w:val="000000"/>
                <w:sz w:val="18"/>
                <w:szCs w:val="18"/>
                <w:lang w:val="en-US"/>
              </w:rPr>
              <w:t>Instrument type= Index Futures</w:t>
            </w:r>
          </w:p>
        </w:tc>
        <w:tc>
          <w:tcPr>
            <w:tcW w:w="1450" w:type="pct"/>
            <w:tcBorders>
              <w:top w:val="nil"/>
              <w:left w:val="nil"/>
              <w:bottom w:val="single" w:sz="8" w:space="0" w:color="FFFFFF"/>
              <w:right w:val="nil"/>
            </w:tcBorders>
            <w:shd w:val="clear" w:color="auto" w:fill="auto"/>
            <w:vAlign w:val="center"/>
            <w:hideMark/>
          </w:tcPr>
          <w:p w:rsidR="00AD0DB8" w:rsidRPr="00CF2B8D" w:rsidRDefault="00AD0DB8" w:rsidP="00801EF2">
            <w:pPr>
              <w:rPr>
                <w:rFonts w:ascii="Calibri" w:hAnsi="Calibri"/>
                <w:color w:val="000000"/>
                <w:sz w:val="18"/>
                <w:szCs w:val="18"/>
                <w:lang w:val="en-US"/>
              </w:rPr>
            </w:pPr>
            <w:r w:rsidRPr="00CF2B8D">
              <w:rPr>
                <w:rFonts w:ascii="Calibri" w:hAnsi="Calibri"/>
                <w:color w:val="000000"/>
                <w:sz w:val="18"/>
                <w:szCs w:val="18"/>
                <w:lang w:val="en-US"/>
              </w:rPr>
              <w:t>Number of Securities * Contract size * Underlying Last</w:t>
            </w:r>
          </w:p>
        </w:tc>
        <w:tc>
          <w:tcPr>
            <w:tcW w:w="1267" w:type="pct"/>
            <w:tcBorders>
              <w:top w:val="nil"/>
              <w:left w:val="single" w:sz="8" w:space="0" w:color="FFFFFF"/>
              <w:bottom w:val="single" w:sz="8" w:space="0" w:color="FFFFFF"/>
              <w:right w:val="nil"/>
            </w:tcBorders>
            <w:shd w:val="clear" w:color="auto" w:fill="auto"/>
            <w:vAlign w:val="center"/>
            <w:hideMark/>
          </w:tcPr>
          <w:p w:rsidR="00AD0DB8" w:rsidRPr="00CF2B8D" w:rsidRDefault="00AD0DB8" w:rsidP="00801EF2">
            <w:pPr>
              <w:rPr>
                <w:rFonts w:ascii="Calibri" w:hAnsi="Calibri"/>
                <w:color w:val="000000"/>
                <w:sz w:val="18"/>
                <w:szCs w:val="18"/>
              </w:rPr>
            </w:pPr>
            <w:r w:rsidRPr="00CF2B8D">
              <w:rPr>
                <w:rFonts w:ascii="Calibri" w:hAnsi="Calibri"/>
                <w:color w:val="000000"/>
                <w:sz w:val="18"/>
                <w:szCs w:val="18"/>
                <w:lang w:val="en-US"/>
              </w:rPr>
              <w:t>VGU4 Index</w:t>
            </w:r>
          </w:p>
        </w:tc>
      </w:tr>
      <w:tr w:rsidR="00AD0DB8" w:rsidRPr="00CF2B8D" w:rsidTr="00801EF2">
        <w:trPr>
          <w:trHeight w:val="495"/>
        </w:trPr>
        <w:tc>
          <w:tcPr>
            <w:tcW w:w="978"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Bond Pool futures</w:t>
            </w:r>
          </w:p>
        </w:tc>
        <w:tc>
          <w:tcPr>
            <w:tcW w:w="1305"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 xml:space="preserve">Instrument type = </w:t>
            </w:r>
            <w:r w:rsidRPr="00CF2B8D">
              <w:rPr>
                <w:rFonts w:ascii="Calibri" w:hAnsi="Calibri"/>
                <w:b/>
                <w:bCs/>
                <w:color w:val="000000"/>
                <w:sz w:val="18"/>
                <w:szCs w:val="18"/>
                <w:lang w:val="en-US"/>
              </w:rPr>
              <w:t>Interest</w:t>
            </w:r>
            <w:r w:rsidRPr="00CF2B8D">
              <w:rPr>
                <w:rFonts w:ascii="Calibri" w:hAnsi="Calibri"/>
                <w:b/>
                <w:bCs/>
                <w:color w:val="000000"/>
                <w:sz w:val="18"/>
                <w:szCs w:val="18"/>
              </w:rPr>
              <w:t xml:space="preserve"> Rate Futures</w:t>
            </w:r>
          </w:p>
        </w:tc>
        <w:tc>
          <w:tcPr>
            <w:tcW w:w="1450"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color w:val="000000"/>
                <w:sz w:val="18"/>
                <w:szCs w:val="18"/>
                <w:lang w:val="en-US"/>
              </w:rPr>
            </w:pPr>
            <w:r>
              <w:rPr>
                <w:rFonts w:ascii="Calibri" w:hAnsi="Calibri"/>
                <w:color w:val="000000"/>
                <w:sz w:val="18"/>
                <w:szCs w:val="18"/>
                <w:lang w:val="en-US"/>
              </w:rPr>
              <w:t>MAX(</w:t>
            </w:r>
            <w:r w:rsidRPr="00CF2B8D">
              <w:rPr>
                <w:rFonts w:ascii="Calibri" w:hAnsi="Calibri"/>
                <w:color w:val="000000"/>
                <w:sz w:val="18"/>
                <w:szCs w:val="18"/>
                <w:lang w:val="en-US"/>
              </w:rPr>
              <w:t>Number of contracts * notional contract size * market price of the cheapest-to-deliver reference bond</w:t>
            </w:r>
            <w:r>
              <w:rPr>
                <w:rFonts w:ascii="Calibri" w:hAnsi="Calibri"/>
                <w:color w:val="000000"/>
                <w:sz w:val="18"/>
                <w:szCs w:val="18"/>
                <w:lang w:val="en-US"/>
              </w:rPr>
              <w:t xml:space="preserve">; </w:t>
            </w:r>
            <w:r w:rsidRPr="00CF2B8D">
              <w:rPr>
                <w:rFonts w:ascii="Calibri" w:hAnsi="Calibri"/>
                <w:color w:val="000000"/>
                <w:sz w:val="18"/>
                <w:szCs w:val="18"/>
                <w:lang w:val="en-US"/>
              </w:rPr>
              <w:t>Number of contracts * notional contract size</w:t>
            </w:r>
            <w:r>
              <w:rPr>
                <w:rFonts w:ascii="Calibri" w:hAnsi="Calibri"/>
                <w:color w:val="000000"/>
                <w:sz w:val="18"/>
                <w:szCs w:val="18"/>
                <w:lang w:val="en-US"/>
              </w:rPr>
              <w:t>)</w:t>
            </w:r>
          </w:p>
        </w:tc>
        <w:tc>
          <w:tcPr>
            <w:tcW w:w="1267"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color w:val="000000"/>
                <w:sz w:val="18"/>
                <w:szCs w:val="18"/>
              </w:rPr>
            </w:pPr>
            <w:r w:rsidRPr="00CF2B8D">
              <w:rPr>
                <w:rFonts w:ascii="Calibri" w:hAnsi="Calibri"/>
                <w:color w:val="000000"/>
                <w:sz w:val="18"/>
                <w:szCs w:val="18"/>
                <w:lang w:val="en-US"/>
              </w:rPr>
              <w:t xml:space="preserve">DUM5 </w:t>
            </w:r>
            <w:proofErr w:type="spellStart"/>
            <w:r w:rsidRPr="00CF2B8D">
              <w:rPr>
                <w:rFonts w:ascii="Calibri" w:hAnsi="Calibri"/>
                <w:color w:val="000000"/>
                <w:sz w:val="18"/>
                <w:szCs w:val="18"/>
                <w:lang w:val="en-US"/>
              </w:rPr>
              <w:t>Comdty</w:t>
            </w:r>
            <w:proofErr w:type="spellEnd"/>
          </w:p>
        </w:tc>
      </w:tr>
      <w:tr w:rsidR="00AD0DB8" w:rsidRPr="00BA23F9" w:rsidTr="00801EF2">
        <w:trPr>
          <w:trHeight w:val="1680"/>
        </w:trPr>
        <w:tc>
          <w:tcPr>
            <w:tcW w:w="978" w:type="pct"/>
            <w:tcBorders>
              <w:top w:val="single" w:sz="8" w:space="0" w:color="FFFFFF"/>
              <w:left w:val="single" w:sz="8" w:space="0" w:color="FFFFFF"/>
              <w:bottom w:val="nil"/>
              <w:right w:val="single" w:sz="8" w:space="0" w:color="FFFFFF"/>
            </w:tcBorders>
            <w:shd w:val="clear" w:color="auto" w:fill="auto"/>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CDS (Single Name)</w:t>
            </w:r>
          </w:p>
        </w:tc>
        <w:tc>
          <w:tcPr>
            <w:tcW w:w="1305" w:type="pct"/>
            <w:tcBorders>
              <w:top w:val="single" w:sz="8" w:space="0" w:color="FFFFFF"/>
              <w:left w:val="nil"/>
              <w:bottom w:val="nil"/>
              <w:right w:val="single" w:sz="8" w:space="0" w:color="FFFFFF"/>
            </w:tcBorders>
            <w:shd w:val="clear" w:color="auto" w:fill="auto"/>
            <w:vAlign w:val="center"/>
            <w:hideMark/>
          </w:tcPr>
          <w:p w:rsidR="00AD0DB8" w:rsidRPr="00CF2B8D" w:rsidRDefault="00AD0DB8" w:rsidP="00801EF2">
            <w:pPr>
              <w:rPr>
                <w:rFonts w:ascii="Calibri" w:hAnsi="Calibri"/>
                <w:b/>
                <w:bCs/>
                <w:color w:val="000000"/>
                <w:sz w:val="18"/>
                <w:szCs w:val="18"/>
                <w:lang w:val="en-US"/>
              </w:rPr>
            </w:pPr>
            <w:r w:rsidRPr="00CF2B8D">
              <w:rPr>
                <w:rFonts w:ascii="Calibri" w:hAnsi="Calibri"/>
                <w:b/>
                <w:bCs/>
                <w:color w:val="000000"/>
                <w:sz w:val="18"/>
                <w:szCs w:val="18"/>
                <w:lang w:val="en-US"/>
              </w:rPr>
              <w:t>Instrument Type = Credit Default Swaps</w:t>
            </w:r>
            <w:r w:rsidRPr="00CF2B8D">
              <w:rPr>
                <w:rFonts w:ascii="Calibri" w:hAnsi="Calibri"/>
                <w:b/>
                <w:bCs/>
                <w:color w:val="000000"/>
                <w:sz w:val="18"/>
                <w:szCs w:val="18"/>
                <w:lang w:val="en-US"/>
              </w:rPr>
              <w:br/>
              <w:t>&amp; Underlying type = Bonds Or Issuer</w:t>
            </w:r>
          </w:p>
        </w:tc>
        <w:tc>
          <w:tcPr>
            <w:tcW w:w="1450" w:type="pct"/>
            <w:tcBorders>
              <w:top w:val="single" w:sz="8" w:space="0" w:color="FFFFFF"/>
              <w:left w:val="nil"/>
              <w:bottom w:val="nil"/>
              <w:right w:val="nil"/>
            </w:tcBorders>
            <w:shd w:val="clear" w:color="auto" w:fill="auto"/>
            <w:vAlign w:val="center"/>
            <w:hideMark/>
          </w:tcPr>
          <w:p w:rsidR="00AD0DB8" w:rsidRPr="00CF2B8D" w:rsidRDefault="00AD0DB8" w:rsidP="00801EF2">
            <w:pPr>
              <w:rPr>
                <w:rFonts w:ascii="Calibri" w:hAnsi="Calibri"/>
                <w:color w:val="000000"/>
                <w:sz w:val="18"/>
                <w:szCs w:val="18"/>
                <w:lang w:val="en-US"/>
              </w:rPr>
            </w:pPr>
            <w:r w:rsidRPr="00CF2B8D">
              <w:rPr>
                <w:rFonts w:ascii="Calibri" w:hAnsi="Calibri"/>
                <w:color w:val="000000"/>
                <w:sz w:val="18"/>
                <w:szCs w:val="18"/>
                <w:lang w:val="en-US"/>
              </w:rPr>
              <w:br/>
              <w:t>Nominal</w:t>
            </w:r>
          </w:p>
        </w:tc>
        <w:tc>
          <w:tcPr>
            <w:tcW w:w="1267" w:type="pct"/>
            <w:tcBorders>
              <w:top w:val="single" w:sz="8" w:space="0" w:color="FFFFFF"/>
              <w:left w:val="single" w:sz="8" w:space="0" w:color="FFFFFF"/>
              <w:bottom w:val="nil"/>
              <w:right w:val="nil"/>
            </w:tcBorders>
            <w:shd w:val="clear" w:color="auto" w:fill="auto"/>
            <w:vAlign w:val="center"/>
            <w:hideMark/>
          </w:tcPr>
          <w:p w:rsidR="00AD0DB8" w:rsidRPr="00CF2B8D" w:rsidRDefault="00AD0DB8" w:rsidP="00801EF2">
            <w:pPr>
              <w:rPr>
                <w:rFonts w:ascii="Calibri" w:hAnsi="Calibri"/>
                <w:color w:val="000000"/>
                <w:sz w:val="18"/>
                <w:szCs w:val="18"/>
                <w:lang w:val="en-US"/>
              </w:rPr>
            </w:pPr>
            <w:r w:rsidRPr="00CF2B8D">
              <w:rPr>
                <w:rFonts w:ascii="Calibri" w:hAnsi="Calibri"/>
                <w:color w:val="000000"/>
                <w:sz w:val="18"/>
                <w:szCs w:val="18"/>
                <w:lang w:val="en-US"/>
              </w:rPr>
              <w:t>No Example in PROD, to be created</w:t>
            </w:r>
          </w:p>
        </w:tc>
      </w:tr>
      <w:tr w:rsidR="00AD0DB8" w:rsidRPr="00CF2B8D" w:rsidTr="00801EF2">
        <w:trPr>
          <w:trHeight w:val="495"/>
        </w:trPr>
        <w:tc>
          <w:tcPr>
            <w:tcW w:w="978"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CDS Index</w:t>
            </w:r>
          </w:p>
        </w:tc>
        <w:tc>
          <w:tcPr>
            <w:tcW w:w="1305"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b/>
                <w:bCs/>
                <w:color w:val="000000"/>
                <w:sz w:val="18"/>
                <w:szCs w:val="18"/>
                <w:lang w:val="en-US"/>
              </w:rPr>
            </w:pPr>
            <w:r w:rsidRPr="00CF2B8D">
              <w:rPr>
                <w:rFonts w:ascii="Calibri" w:hAnsi="Calibri"/>
                <w:b/>
                <w:bCs/>
                <w:color w:val="000000"/>
                <w:sz w:val="18"/>
                <w:szCs w:val="18"/>
                <w:lang w:val="en-US"/>
              </w:rPr>
              <w:t>Instrument Type = Credit Default Swaps</w:t>
            </w:r>
            <w:r w:rsidRPr="00CF2B8D">
              <w:rPr>
                <w:rFonts w:ascii="Calibri" w:hAnsi="Calibri"/>
                <w:b/>
                <w:bCs/>
                <w:color w:val="000000"/>
                <w:sz w:val="18"/>
                <w:szCs w:val="18"/>
                <w:lang w:val="en-US"/>
              </w:rPr>
              <w:br/>
              <w:t>&amp; Underlying type = Index</w:t>
            </w:r>
          </w:p>
        </w:tc>
        <w:tc>
          <w:tcPr>
            <w:tcW w:w="1450"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color w:val="000000"/>
                <w:sz w:val="18"/>
                <w:szCs w:val="18"/>
              </w:rPr>
            </w:pPr>
            <w:r>
              <w:rPr>
                <w:rFonts w:ascii="Calibri" w:hAnsi="Calibri"/>
                <w:color w:val="000000"/>
                <w:sz w:val="18"/>
                <w:szCs w:val="18"/>
              </w:rPr>
              <w:t>Nominal</w:t>
            </w:r>
          </w:p>
        </w:tc>
        <w:tc>
          <w:tcPr>
            <w:tcW w:w="1267"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color w:val="000000"/>
                <w:sz w:val="18"/>
                <w:szCs w:val="18"/>
              </w:rPr>
            </w:pPr>
            <w:r w:rsidRPr="00CF2B8D">
              <w:rPr>
                <w:rFonts w:ascii="Calibri" w:hAnsi="Calibri"/>
                <w:color w:val="000000"/>
                <w:sz w:val="18"/>
                <w:szCs w:val="18"/>
              </w:rPr>
              <w:t>ITRX XOVER CDSI S23 5Y</w:t>
            </w:r>
          </w:p>
        </w:tc>
      </w:tr>
      <w:tr w:rsidR="00AD0DB8" w:rsidRPr="00CF2B8D" w:rsidTr="00801EF2">
        <w:trPr>
          <w:trHeight w:val="315"/>
        </w:trPr>
        <w:tc>
          <w:tcPr>
            <w:tcW w:w="978"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Convertible Bonds</w:t>
            </w:r>
          </w:p>
        </w:tc>
        <w:tc>
          <w:tcPr>
            <w:tcW w:w="1305" w:type="pct"/>
            <w:tcBorders>
              <w:top w:val="single" w:sz="8" w:space="0" w:color="FFFFFF"/>
              <w:left w:val="nil"/>
              <w:bottom w:val="single" w:sz="8" w:space="0" w:color="FFFFFF"/>
              <w:right w:val="single" w:sz="8" w:space="0" w:color="FFFFFF"/>
            </w:tcBorders>
            <w:shd w:val="clear" w:color="auto" w:fill="auto"/>
            <w:vAlign w:val="center"/>
            <w:hideMark/>
          </w:tcPr>
          <w:p w:rsidR="00AD0DB8" w:rsidRPr="00CF2B8D" w:rsidRDefault="00AD0DB8" w:rsidP="00801EF2">
            <w:pPr>
              <w:rPr>
                <w:rFonts w:ascii="Calibri" w:hAnsi="Calibri"/>
                <w:b/>
                <w:bCs/>
                <w:color w:val="000000"/>
                <w:sz w:val="18"/>
                <w:szCs w:val="18"/>
                <w:lang w:val="en-US"/>
              </w:rPr>
            </w:pPr>
            <w:r w:rsidRPr="00CF2B8D">
              <w:rPr>
                <w:rFonts w:ascii="Calibri" w:hAnsi="Calibri"/>
                <w:b/>
                <w:bCs/>
                <w:color w:val="000000"/>
                <w:sz w:val="18"/>
                <w:szCs w:val="18"/>
                <w:lang w:val="en-US"/>
              </w:rPr>
              <w:t>Instrument Type = Convertibles and Indexed</w:t>
            </w:r>
          </w:p>
        </w:tc>
        <w:tc>
          <w:tcPr>
            <w:tcW w:w="1450" w:type="pct"/>
            <w:tcBorders>
              <w:top w:val="single" w:sz="8" w:space="0" w:color="FFFFFF"/>
              <w:left w:val="nil"/>
              <w:bottom w:val="single" w:sz="8" w:space="0" w:color="FFFFFF"/>
              <w:right w:val="nil"/>
            </w:tcBorders>
            <w:shd w:val="clear" w:color="auto" w:fill="auto"/>
            <w:vAlign w:val="center"/>
            <w:hideMark/>
          </w:tcPr>
          <w:p w:rsidR="00AD0DB8" w:rsidRPr="00CF2B8D" w:rsidRDefault="00AD0DB8" w:rsidP="00801EF2">
            <w:pPr>
              <w:rPr>
                <w:rFonts w:ascii="Calibri" w:hAnsi="Calibri"/>
                <w:color w:val="000000"/>
                <w:sz w:val="18"/>
                <w:szCs w:val="18"/>
                <w:lang w:val="en-US"/>
              </w:rPr>
            </w:pPr>
            <w:r w:rsidRPr="00CF2B8D">
              <w:rPr>
                <w:rFonts w:ascii="Calibri" w:hAnsi="Calibri"/>
                <w:color w:val="000000"/>
                <w:sz w:val="18"/>
                <w:szCs w:val="18"/>
                <w:lang w:val="en-US"/>
              </w:rPr>
              <w:t xml:space="preserve">Conversion Ratio * </w:t>
            </w:r>
            <w:proofErr w:type="spellStart"/>
            <w:r w:rsidRPr="00CF2B8D">
              <w:rPr>
                <w:rFonts w:ascii="Calibri" w:hAnsi="Calibri"/>
                <w:color w:val="000000"/>
                <w:sz w:val="18"/>
                <w:szCs w:val="18"/>
                <w:lang w:val="en-US"/>
              </w:rPr>
              <w:t>nbSe</w:t>
            </w:r>
            <w:r>
              <w:rPr>
                <w:rFonts w:ascii="Calibri" w:hAnsi="Calibri"/>
                <w:color w:val="000000"/>
                <w:sz w:val="18"/>
                <w:szCs w:val="18"/>
                <w:lang w:val="en-US"/>
              </w:rPr>
              <w:t>curities</w:t>
            </w:r>
            <w:proofErr w:type="spellEnd"/>
            <w:r>
              <w:rPr>
                <w:rFonts w:ascii="Calibri" w:hAnsi="Calibri"/>
                <w:color w:val="000000"/>
                <w:sz w:val="18"/>
                <w:szCs w:val="18"/>
                <w:lang w:val="en-US"/>
              </w:rPr>
              <w:t xml:space="preserve"> * underlying Last</w:t>
            </w:r>
          </w:p>
        </w:tc>
        <w:tc>
          <w:tcPr>
            <w:tcW w:w="1267" w:type="pct"/>
            <w:tcBorders>
              <w:top w:val="single" w:sz="8" w:space="0" w:color="FFFFFF"/>
              <w:left w:val="single" w:sz="8" w:space="0" w:color="FFFFFF"/>
              <w:bottom w:val="single" w:sz="8" w:space="0" w:color="FFFFFF"/>
              <w:right w:val="nil"/>
            </w:tcBorders>
            <w:shd w:val="clear" w:color="auto" w:fill="auto"/>
            <w:vAlign w:val="center"/>
            <w:hideMark/>
          </w:tcPr>
          <w:p w:rsidR="00AD0DB8" w:rsidRPr="00CF2B8D" w:rsidRDefault="00AD0DB8" w:rsidP="00801EF2">
            <w:pPr>
              <w:rPr>
                <w:rFonts w:ascii="Calibri" w:hAnsi="Calibri"/>
                <w:color w:val="000000"/>
                <w:sz w:val="18"/>
                <w:szCs w:val="18"/>
              </w:rPr>
            </w:pPr>
            <w:r w:rsidRPr="00CF2B8D">
              <w:rPr>
                <w:rFonts w:ascii="Calibri" w:hAnsi="Calibri"/>
                <w:color w:val="000000"/>
                <w:sz w:val="18"/>
                <w:szCs w:val="18"/>
                <w:lang w:val="en-US"/>
              </w:rPr>
              <w:t>XS0481758307 Corp</w:t>
            </w:r>
          </w:p>
        </w:tc>
      </w:tr>
      <w:tr w:rsidR="00AD0DB8" w:rsidRPr="00CF2B8D" w:rsidTr="00801EF2">
        <w:trPr>
          <w:trHeight w:val="315"/>
        </w:trPr>
        <w:tc>
          <w:tcPr>
            <w:tcW w:w="978"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Swaps</w:t>
            </w:r>
          </w:p>
        </w:tc>
        <w:tc>
          <w:tcPr>
            <w:tcW w:w="1305"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b/>
                <w:bCs/>
                <w:color w:val="000000"/>
                <w:sz w:val="18"/>
                <w:szCs w:val="18"/>
                <w:lang w:val="en-US"/>
              </w:rPr>
            </w:pPr>
            <w:r w:rsidRPr="00CF2B8D">
              <w:rPr>
                <w:rFonts w:ascii="Calibri" w:hAnsi="Calibri"/>
                <w:b/>
                <w:bCs/>
                <w:color w:val="000000"/>
                <w:sz w:val="18"/>
                <w:szCs w:val="18"/>
                <w:lang w:val="en-US"/>
              </w:rPr>
              <w:t>Instrument Type = Interest Rate Swaps</w:t>
            </w:r>
          </w:p>
        </w:tc>
        <w:tc>
          <w:tcPr>
            <w:tcW w:w="1450"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color w:val="000000"/>
                <w:sz w:val="18"/>
                <w:szCs w:val="18"/>
              </w:rPr>
            </w:pPr>
            <w:r>
              <w:rPr>
                <w:rFonts w:ascii="Calibri" w:hAnsi="Calibri"/>
                <w:color w:val="000000"/>
                <w:sz w:val="18"/>
                <w:szCs w:val="18"/>
              </w:rPr>
              <w:t>Nominal</w:t>
            </w:r>
          </w:p>
        </w:tc>
        <w:tc>
          <w:tcPr>
            <w:tcW w:w="1267"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color w:val="000000"/>
                <w:sz w:val="18"/>
                <w:szCs w:val="18"/>
              </w:rPr>
            </w:pPr>
            <w:r w:rsidRPr="00CF2B8D">
              <w:rPr>
                <w:rFonts w:ascii="Calibri" w:hAnsi="Calibri"/>
                <w:color w:val="000000"/>
                <w:sz w:val="18"/>
                <w:szCs w:val="18"/>
              </w:rPr>
              <w:t>IR SWAP EUR 06/13 4,905</w:t>
            </w:r>
          </w:p>
        </w:tc>
      </w:tr>
      <w:tr w:rsidR="00AD0DB8" w:rsidRPr="00CF2B8D" w:rsidTr="00801EF2">
        <w:trPr>
          <w:trHeight w:val="315"/>
        </w:trPr>
        <w:tc>
          <w:tcPr>
            <w:tcW w:w="978"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Basic TRS</w:t>
            </w:r>
          </w:p>
        </w:tc>
        <w:tc>
          <w:tcPr>
            <w:tcW w:w="1305" w:type="pct"/>
            <w:tcBorders>
              <w:top w:val="single" w:sz="8" w:space="0" w:color="FFFFFF"/>
              <w:left w:val="nil"/>
              <w:bottom w:val="single" w:sz="8" w:space="0" w:color="FFFFFF"/>
              <w:right w:val="single" w:sz="8" w:space="0" w:color="FFFFFF"/>
            </w:tcBorders>
            <w:shd w:val="clear" w:color="auto" w:fill="auto"/>
            <w:vAlign w:val="center"/>
            <w:hideMark/>
          </w:tcPr>
          <w:p w:rsidR="00AD0DB8" w:rsidRPr="00CF2B8D" w:rsidRDefault="00AD0DB8" w:rsidP="00801EF2">
            <w:pPr>
              <w:rPr>
                <w:rFonts w:ascii="Calibri" w:hAnsi="Calibri"/>
                <w:b/>
                <w:bCs/>
                <w:color w:val="000000"/>
                <w:sz w:val="18"/>
                <w:szCs w:val="18"/>
                <w:lang w:val="en-US"/>
              </w:rPr>
            </w:pPr>
            <w:r w:rsidRPr="00CF2B8D">
              <w:rPr>
                <w:rFonts w:ascii="Calibri" w:hAnsi="Calibri"/>
                <w:b/>
                <w:bCs/>
                <w:color w:val="000000"/>
                <w:sz w:val="18"/>
                <w:szCs w:val="18"/>
                <w:lang w:val="en-US"/>
              </w:rPr>
              <w:t>Instrument Type = Total Return Swaps</w:t>
            </w:r>
          </w:p>
        </w:tc>
        <w:tc>
          <w:tcPr>
            <w:tcW w:w="1450" w:type="pct"/>
            <w:tcBorders>
              <w:top w:val="single" w:sz="8" w:space="0" w:color="FFFFFF"/>
              <w:left w:val="nil"/>
              <w:bottom w:val="single" w:sz="8" w:space="0" w:color="FFFFFF"/>
              <w:right w:val="nil"/>
            </w:tcBorders>
            <w:shd w:val="clear" w:color="auto" w:fill="auto"/>
            <w:vAlign w:val="center"/>
            <w:hideMark/>
          </w:tcPr>
          <w:p w:rsidR="00AD0DB8" w:rsidRPr="00CF2B8D" w:rsidRDefault="00AD0DB8" w:rsidP="00801EF2">
            <w:pPr>
              <w:rPr>
                <w:rFonts w:ascii="Calibri" w:hAnsi="Calibri"/>
                <w:color w:val="000000"/>
                <w:sz w:val="18"/>
                <w:szCs w:val="18"/>
                <w:lang w:val="en-US"/>
              </w:rPr>
            </w:pPr>
            <w:r w:rsidRPr="00CF2B8D">
              <w:rPr>
                <w:rFonts w:ascii="Calibri" w:hAnsi="Calibri"/>
                <w:color w:val="000000"/>
                <w:sz w:val="18"/>
                <w:szCs w:val="18"/>
                <w:lang w:val="en-US"/>
              </w:rPr>
              <w:t xml:space="preserve">Nominal </w:t>
            </w:r>
          </w:p>
          <w:p w:rsidR="00AD0DB8" w:rsidRPr="00CF2B8D" w:rsidRDefault="00AD0DB8" w:rsidP="00801EF2">
            <w:pPr>
              <w:rPr>
                <w:rFonts w:ascii="Calibri" w:hAnsi="Calibri"/>
                <w:color w:val="000000"/>
                <w:sz w:val="18"/>
                <w:szCs w:val="18"/>
                <w:lang w:val="en-US"/>
              </w:rPr>
            </w:pPr>
          </w:p>
        </w:tc>
        <w:tc>
          <w:tcPr>
            <w:tcW w:w="1267" w:type="pct"/>
            <w:tcBorders>
              <w:top w:val="single" w:sz="8" w:space="0" w:color="FFFFFF"/>
              <w:left w:val="single" w:sz="8" w:space="0" w:color="FFFFFF"/>
              <w:bottom w:val="single" w:sz="8" w:space="0" w:color="FFFFFF"/>
              <w:right w:val="nil"/>
            </w:tcBorders>
            <w:shd w:val="clear" w:color="auto" w:fill="auto"/>
            <w:vAlign w:val="center"/>
            <w:hideMark/>
          </w:tcPr>
          <w:p w:rsidR="00AD0DB8" w:rsidRPr="00CF2B8D" w:rsidRDefault="00AD0DB8" w:rsidP="00801EF2">
            <w:pPr>
              <w:rPr>
                <w:rFonts w:ascii="Calibri" w:hAnsi="Calibri"/>
                <w:color w:val="000000"/>
                <w:sz w:val="18"/>
                <w:szCs w:val="18"/>
              </w:rPr>
            </w:pPr>
            <w:r w:rsidRPr="00CF2B8D">
              <w:rPr>
                <w:rFonts w:ascii="Calibri" w:hAnsi="Calibri"/>
                <w:color w:val="000000"/>
                <w:sz w:val="18"/>
                <w:szCs w:val="18"/>
                <w:lang w:val="en-US"/>
              </w:rPr>
              <w:t>IBOXX TRS 167,72 12/14</w:t>
            </w:r>
          </w:p>
        </w:tc>
      </w:tr>
      <w:tr w:rsidR="00AD0DB8" w:rsidRPr="00CF2B8D" w:rsidTr="00801EF2">
        <w:trPr>
          <w:trHeight w:val="315"/>
        </w:trPr>
        <w:tc>
          <w:tcPr>
            <w:tcW w:w="978"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FX futures</w:t>
            </w:r>
          </w:p>
        </w:tc>
        <w:tc>
          <w:tcPr>
            <w:tcW w:w="1305"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Instrument type= Exchange rate future</w:t>
            </w:r>
          </w:p>
        </w:tc>
        <w:tc>
          <w:tcPr>
            <w:tcW w:w="1450"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color w:val="000000"/>
                <w:sz w:val="18"/>
                <w:szCs w:val="18"/>
                <w:lang w:val="en-US"/>
              </w:rPr>
            </w:pPr>
            <w:r w:rsidRPr="00CF2B8D">
              <w:rPr>
                <w:rFonts w:ascii="Calibri" w:hAnsi="Calibri"/>
                <w:color w:val="000000"/>
                <w:sz w:val="18"/>
                <w:szCs w:val="18"/>
                <w:lang w:val="en-US"/>
              </w:rPr>
              <w:t xml:space="preserve">Number of securities * Contract size </w:t>
            </w:r>
          </w:p>
        </w:tc>
        <w:tc>
          <w:tcPr>
            <w:tcW w:w="1267"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color w:val="000000"/>
                <w:sz w:val="18"/>
                <w:szCs w:val="18"/>
              </w:rPr>
            </w:pPr>
            <w:r w:rsidRPr="00CF2B8D">
              <w:rPr>
                <w:rFonts w:ascii="Calibri" w:hAnsi="Calibri"/>
                <w:color w:val="000000"/>
                <w:sz w:val="18"/>
                <w:szCs w:val="18"/>
              </w:rPr>
              <w:t xml:space="preserve">ECM5 </w:t>
            </w:r>
            <w:proofErr w:type="spellStart"/>
            <w:r w:rsidRPr="00CF2B8D">
              <w:rPr>
                <w:rFonts w:ascii="Calibri" w:hAnsi="Calibri"/>
                <w:color w:val="000000"/>
                <w:sz w:val="18"/>
                <w:szCs w:val="18"/>
              </w:rPr>
              <w:t>Curncy</w:t>
            </w:r>
            <w:proofErr w:type="spellEnd"/>
          </w:p>
        </w:tc>
      </w:tr>
      <w:tr w:rsidR="00AD0DB8" w:rsidRPr="00CF2B8D" w:rsidTr="00801EF2">
        <w:trPr>
          <w:trHeight w:val="735"/>
        </w:trPr>
        <w:tc>
          <w:tcPr>
            <w:tcW w:w="978"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D0DB8" w:rsidRPr="00CF2B8D" w:rsidRDefault="00AD0DB8" w:rsidP="00801EF2">
            <w:pPr>
              <w:rPr>
                <w:rFonts w:ascii="Calibri" w:hAnsi="Calibri"/>
                <w:b/>
                <w:bCs/>
                <w:color w:val="000000"/>
                <w:sz w:val="18"/>
                <w:szCs w:val="18"/>
                <w:lang w:val="en-US"/>
              </w:rPr>
            </w:pPr>
            <w:r w:rsidRPr="00CF2B8D">
              <w:rPr>
                <w:rFonts w:ascii="Calibri" w:hAnsi="Calibri"/>
                <w:b/>
                <w:bCs/>
                <w:color w:val="000000"/>
                <w:sz w:val="18"/>
                <w:szCs w:val="18"/>
                <w:lang w:val="en-US"/>
              </w:rPr>
              <w:t>Option on future on bond pool</w:t>
            </w:r>
          </w:p>
        </w:tc>
        <w:tc>
          <w:tcPr>
            <w:tcW w:w="1305" w:type="pct"/>
            <w:tcBorders>
              <w:top w:val="single" w:sz="8" w:space="0" w:color="FFFFFF"/>
              <w:left w:val="nil"/>
              <w:bottom w:val="single" w:sz="8" w:space="0" w:color="FFFFFF"/>
              <w:right w:val="single" w:sz="8" w:space="0" w:color="FFFFFF"/>
            </w:tcBorders>
            <w:shd w:val="clear" w:color="auto" w:fill="auto"/>
            <w:vAlign w:val="center"/>
            <w:hideMark/>
          </w:tcPr>
          <w:p w:rsidR="00AD0DB8" w:rsidRPr="00CF2B8D" w:rsidRDefault="00AD0DB8" w:rsidP="00801EF2">
            <w:pPr>
              <w:rPr>
                <w:rFonts w:ascii="Calibri" w:hAnsi="Calibri"/>
                <w:b/>
                <w:bCs/>
                <w:color w:val="000000"/>
                <w:sz w:val="18"/>
                <w:szCs w:val="18"/>
                <w:lang w:val="en-US"/>
              </w:rPr>
            </w:pPr>
            <w:r w:rsidRPr="00CF2B8D">
              <w:rPr>
                <w:rFonts w:ascii="Calibri" w:hAnsi="Calibri"/>
                <w:b/>
                <w:bCs/>
                <w:color w:val="000000"/>
                <w:sz w:val="18"/>
                <w:szCs w:val="18"/>
                <w:lang w:val="en-US"/>
              </w:rPr>
              <w:t>Instrument type = Interest Rate Derivatives &amp; Underlying Instrument Type = Interest Rate futures</w:t>
            </w:r>
          </w:p>
        </w:tc>
        <w:tc>
          <w:tcPr>
            <w:tcW w:w="1450" w:type="pct"/>
            <w:tcBorders>
              <w:top w:val="single" w:sz="8" w:space="0" w:color="FFFFFF"/>
              <w:left w:val="nil"/>
              <w:bottom w:val="single" w:sz="8" w:space="0" w:color="FFFFFF"/>
              <w:right w:val="nil"/>
            </w:tcBorders>
            <w:shd w:val="clear" w:color="auto" w:fill="auto"/>
            <w:vAlign w:val="center"/>
            <w:hideMark/>
          </w:tcPr>
          <w:p w:rsidR="00AD0DB8" w:rsidRPr="00CF2B8D" w:rsidRDefault="00AD0DB8" w:rsidP="00801EF2">
            <w:pPr>
              <w:rPr>
                <w:rFonts w:ascii="Calibri" w:hAnsi="Calibri"/>
                <w:color w:val="000000"/>
                <w:sz w:val="18"/>
                <w:szCs w:val="18"/>
                <w:lang w:val="en-US"/>
              </w:rPr>
            </w:pPr>
            <w:r w:rsidRPr="00CF2B8D">
              <w:rPr>
                <w:rFonts w:ascii="Calibri" w:hAnsi="Calibri"/>
                <w:color w:val="000000"/>
                <w:sz w:val="18"/>
                <w:szCs w:val="18"/>
                <w:lang w:val="en-US"/>
              </w:rPr>
              <w:t>underlying Last * Number of securities*Contract size</w:t>
            </w:r>
          </w:p>
        </w:tc>
        <w:tc>
          <w:tcPr>
            <w:tcW w:w="1267" w:type="pct"/>
            <w:tcBorders>
              <w:top w:val="single" w:sz="8" w:space="0" w:color="FFFFFF"/>
              <w:left w:val="single" w:sz="8" w:space="0" w:color="FFFFFF"/>
              <w:bottom w:val="single" w:sz="8" w:space="0" w:color="FFFFFF"/>
              <w:right w:val="nil"/>
            </w:tcBorders>
            <w:shd w:val="clear" w:color="auto" w:fill="auto"/>
            <w:vAlign w:val="center"/>
            <w:hideMark/>
          </w:tcPr>
          <w:p w:rsidR="00AD0DB8" w:rsidRPr="00CF2B8D" w:rsidRDefault="00AD0DB8" w:rsidP="00801EF2">
            <w:pPr>
              <w:rPr>
                <w:rFonts w:ascii="Calibri" w:hAnsi="Calibri"/>
                <w:color w:val="000000"/>
                <w:sz w:val="18"/>
                <w:szCs w:val="18"/>
              </w:rPr>
            </w:pPr>
            <w:r w:rsidRPr="00CF2B8D">
              <w:rPr>
                <w:rFonts w:ascii="Calibri" w:hAnsi="Calibri"/>
                <w:color w:val="000000"/>
                <w:sz w:val="18"/>
                <w:szCs w:val="18"/>
                <w:lang w:val="en-US"/>
              </w:rPr>
              <w:t xml:space="preserve">TYM5C 129.0 </w:t>
            </w:r>
            <w:proofErr w:type="spellStart"/>
            <w:r w:rsidRPr="00CF2B8D">
              <w:rPr>
                <w:rFonts w:ascii="Calibri" w:hAnsi="Calibri"/>
                <w:color w:val="000000"/>
                <w:sz w:val="18"/>
                <w:szCs w:val="18"/>
                <w:lang w:val="en-US"/>
              </w:rPr>
              <w:t>Comdty</w:t>
            </w:r>
            <w:proofErr w:type="spellEnd"/>
          </w:p>
        </w:tc>
      </w:tr>
      <w:tr w:rsidR="00AD0DB8" w:rsidRPr="00BA23F9" w:rsidTr="00801EF2">
        <w:trPr>
          <w:trHeight w:val="495"/>
        </w:trPr>
        <w:tc>
          <w:tcPr>
            <w:tcW w:w="978"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lastRenderedPageBreak/>
              <w:t>Repos</w:t>
            </w:r>
          </w:p>
        </w:tc>
        <w:tc>
          <w:tcPr>
            <w:tcW w:w="1305"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b/>
                <w:bCs/>
                <w:color w:val="000000"/>
                <w:sz w:val="18"/>
                <w:szCs w:val="18"/>
                <w:lang w:val="en-US"/>
              </w:rPr>
            </w:pPr>
            <w:r w:rsidRPr="00CF2B8D">
              <w:rPr>
                <w:rFonts w:ascii="Calibri" w:hAnsi="Calibri"/>
                <w:b/>
                <w:bCs/>
                <w:color w:val="000000"/>
                <w:sz w:val="18"/>
                <w:szCs w:val="18"/>
                <w:lang w:val="en-US"/>
              </w:rPr>
              <w:t>Instrument type = Loans on Stock</w:t>
            </w:r>
            <w:r w:rsidRPr="00CF2B8D">
              <w:rPr>
                <w:rFonts w:ascii="Calibri" w:hAnsi="Calibri"/>
                <w:b/>
                <w:bCs/>
                <w:color w:val="000000"/>
                <w:sz w:val="18"/>
                <w:szCs w:val="18"/>
                <w:lang w:val="en-US"/>
              </w:rPr>
              <w:br/>
              <w:t>Number of securities &lt; 0,</w:t>
            </w:r>
          </w:p>
        </w:tc>
        <w:tc>
          <w:tcPr>
            <w:tcW w:w="1450"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color w:val="000000"/>
                <w:sz w:val="18"/>
                <w:szCs w:val="18"/>
                <w:lang w:val="en-US"/>
              </w:rPr>
            </w:pPr>
            <w:r>
              <w:rPr>
                <w:rFonts w:ascii="Calibri" w:hAnsi="Calibri"/>
                <w:color w:val="000000"/>
                <w:sz w:val="18"/>
                <w:szCs w:val="18"/>
                <w:lang w:val="en-US"/>
              </w:rPr>
              <w:t>NOT COMPUTED</w:t>
            </w:r>
          </w:p>
        </w:tc>
        <w:tc>
          <w:tcPr>
            <w:tcW w:w="1267" w:type="pct"/>
            <w:tcBorders>
              <w:top w:val="nil"/>
              <w:left w:val="nil"/>
              <w:bottom w:val="nil"/>
              <w:right w:val="nil"/>
            </w:tcBorders>
            <w:shd w:val="clear" w:color="000000" w:fill="DDEBF7"/>
            <w:vAlign w:val="center"/>
            <w:hideMark/>
          </w:tcPr>
          <w:p w:rsidR="00AD0DB8" w:rsidRPr="00CF2B8D" w:rsidRDefault="00AD0DB8" w:rsidP="00801EF2">
            <w:pPr>
              <w:rPr>
                <w:rFonts w:ascii="Calibri" w:hAnsi="Calibri"/>
                <w:color w:val="000000"/>
                <w:sz w:val="18"/>
                <w:szCs w:val="18"/>
                <w:lang w:val="en-US"/>
              </w:rPr>
            </w:pPr>
            <w:r w:rsidRPr="00CF2B8D">
              <w:rPr>
                <w:rFonts w:ascii="Calibri" w:hAnsi="Calibri"/>
                <w:color w:val="000000"/>
                <w:sz w:val="18"/>
                <w:szCs w:val="18"/>
                <w:lang w:val="en-US"/>
              </w:rPr>
              <w:t>No Example in PROD, to be created</w:t>
            </w:r>
          </w:p>
        </w:tc>
      </w:tr>
      <w:tr w:rsidR="00AD0DB8" w:rsidRPr="00CF2B8D" w:rsidTr="00801EF2">
        <w:trPr>
          <w:trHeight w:val="495"/>
        </w:trPr>
        <w:tc>
          <w:tcPr>
            <w:tcW w:w="978" w:type="pct"/>
            <w:tcBorders>
              <w:top w:val="single" w:sz="8" w:space="0" w:color="FFFFFF"/>
              <w:left w:val="single" w:sz="8" w:space="0" w:color="FFFFFF"/>
              <w:bottom w:val="single" w:sz="8" w:space="0" w:color="FFFFFF"/>
              <w:right w:val="single" w:sz="8" w:space="0" w:color="FFFFFF"/>
            </w:tcBorders>
            <w:shd w:val="clear" w:color="auto" w:fill="auto"/>
            <w:vAlign w:val="center"/>
            <w:hideMark/>
          </w:tcPr>
          <w:p w:rsidR="00AD0DB8" w:rsidRPr="00CF2B8D" w:rsidRDefault="00AD0DB8" w:rsidP="00801EF2">
            <w:pPr>
              <w:rPr>
                <w:rFonts w:ascii="Calibri" w:hAnsi="Calibri"/>
                <w:b/>
                <w:bCs/>
                <w:color w:val="000000"/>
                <w:sz w:val="18"/>
                <w:szCs w:val="18"/>
              </w:rPr>
            </w:pPr>
            <w:r w:rsidRPr="00CF2B8D">
              <w:rPr>
                <w:rFonts w:ascii="Calibri" w:hAnsi="Calibri"/>
                <w:b/>
                <w:bCs/>
                <w:color w:val="000000"/>
                <w:sz w:val="18"/>
                <w:szCs w:val="18"/>
              </w:rPr>
              <w:t>Reverse Repos</w:t>
            </w:r>
          </w:p>
        </w:tc>
        <w:tc>
          <w:tcPr>
            <w:tcW w:w="1305" w:type="pct"/>
            <w:tcBorders>
              <w:top w:val="single" w:sz="8" w:space="0" w:color="FFFFFF"/>
              <w:left w:val="nil"/>
              <w:bottom w:val="single" w:sz="8" w:space="0" w:color="FFFFFF"/>
              <w:right w:val="single" w:sz="8" w:space="0" w:color="FFFFFF"/>
            </w:tcBorders>
            <w:shd w:val="clear" w:color="auto" w:fill="auto"/>
            <w:vAlign w:val="center"/>
            <w:hideMark/>
          </w:tcPr>
          <w:p w:rsidR="00AD0DB8" w:rsidRPr="00CF2B8D" w:rsidRDefault="00AD0DB8" w:rsidP="00801EF2">
            <w:pPr>
              <w:rPr>
                <w:rFonts w:ascii="Calibri" w:hAnsi="Calibri"/>
                <w:b/>
                <w:bCs/>
                <w:color w:val="000000"/>
                <w:sz w:val="18"/>
                <w:szCs w:val="18"/>
                <w:lang w:val="en-US"/>
              </w:rPr>
            </w:pPr>
            <w:r w:rsidRPr="00CF2B8D">
              <w:rPr>
                <w:rFonts w:ascii="Calibri" w:hAnsi="Calibri"/>
                <w:b/>
                <w:bCs/>
                <w:color w:val="000000"/>
                <w:sz w:val="18"/>
                <w:szCs w:val="18"/>
                <w:lang w:val="en-US"/>
              </w:rPr>
              <w:t>Instrument type = Loans on Stock</w:t>
            </w:r>
            <w:r w:rsidRPr="00CF2B8D">
              <w:rPr>
                <w:rFonts w:ascii="Calibri" w:hAnsi="Calibri"/>
                <w:b/>
                <w:bCs/>
                <w:color w:val="000000"/>
                <w:sz w:val="18"/>
                <w:szCs w:val="18"/>
                <w:lang w:val="en-US"/>
              </w:rPr>
              <w:br/>
              <w:t>Number of securities &gt; 0,</w:t>
            </w:r>
          </w:p>
        </w:tc>
        <w:tc>
          <w:tcPr>
            <w:tcW w:w="1450" w:type="pct"/>
            <w:tcBorders>
              <w:top w:val="single" w:sz="8" w:space="0" w:color="FFFFFF"/>
              <w:left w:val="nil"/>
              <w:bottom w:val="single" w:sz="8" w:space="0" w:color="FFFFFF"/>
              <w:right w:val="nil"/>
            </w:tcBorders>
            <w:shd w:val="clear" w:color="auto" w:fill="auto"/>
            <w:vAlign w:val="center"/>
            <w:hideMark/>
          </w:tcPr>
          <w:p w:rsidR="00AD0DB8" w:rsidRPr="00CF2B8D" w:rsidRDefault="00AD0DB8" w:rsidP="00801EF2">
            <w:pPr>
              <w:jc w:val="right"/>
              <w:rPr>
                <w:rFonts w:ascii="Calibri" w:hAnsi="Calibri"/>
                <w:color w:val="000000"/>
                <w:sz w:val="18"/>
                <w:szCs w:val="18"/>
              </w:rPr>
            </w:pPr>
            <w:r w:rsidRPr="00CF2B8D">
              <w:rPr>
                <w:rFonts w:ascii="Calibri" w:hAnsi="Calibri"/>
                <w:color w:val="000000"/>
                <w:sz w:val="18"/>
                <w:szCs w:val="18"/>
              </w:rPr>
              <w:t>0</w:t>
            </w:r>
          </w:p>
        </w:tc>
        <w:tc>
          <w:tcPr>
            <w:tcW w:w="1267" w:type="pct"/>
            <w:tcBorders>
              <w:top w:val="single" w:sz="8" w:space="0" w:color="FFFFFF"/>
              <w:left w:val="single" w:sz="8" w:space="0" w:color="FFFFFF"/>
              <w:bottom w:val="single" w:sz="8" w:space="0" w:color="FFFFFF"/>
              <w:right w:val="nil"/>
            </w:tcBorders>
            <w:shd w:val="clear" w:color="auto" w:fill="auto"/>
            <w:vAlign w:val="center"/>
            <w:hideMark/>
          </w:tcPr>
          <w:p w:rsidR="00AD0DB8" w:rsidRPr="00CF2B8D" w:rsidRDefault="00AD0DB8" w:rsidP="00801EF2">
            <w:pPr>
              <w:rPr>
                <w:rFonts w:ascii="Calibri" w:hAnsi="Calibri"/>
                <w:color w:val="000000"/>
                <w:sz w:val="18"/>
                <w:szCs w:val="18"/>
              </w:rPr>
            </w:pPr>
            <w:r w:rsidRPr="00CF2B8D">
              <w:rPr>
                <w:rFonts w:ascii="Calibri" w:hAnsi="Calibri"/>
                <w:color w:val="000000"/>
                <w:sz w:val="18"/>
                <w:szCs w:val="18"/>
              </w:rPr>
              <w:t xml:space="preserve">Repo TUI GR FRN </w:t>
            </w:r>
            <w:proofErr w:type="spellStart"/>
            <w:r w:rsidRPr="00CF2B8D">
              <w:rPr>
                <w:rFonts w:ascii="Calibri" w:hAnsi="Calibri"/>
                <w:color w:val="000000"/>
                <w:sz w:val="18"/>
                <w:szCs w:val="18"/>
              </w:rPr>
              <w:t>PerpTC</w:t>
            </w:r>
            <w:proofErr w:type="spellEnd"/>
            <w:r w:rsidRPr="00CF2B8D">
              <w:rPr>
                <w:rFonts w:ascii="Calibri" w:hAnsi="Calibri"/>
                <w:color w:val="000000"/>
                <w:sz w:val="18"/>
                <w:szCs w:val="18"/>
              </w:rPr>
              <w:t>+</w:t>
            </w:r>
          </w:p>
        </w:tc>
      </w:tr>
    </w:tbl>
    <w:p w:rsidR="00AD0DB8" w:rsidRPr="000961AB" w:rsidRDefault="00AD0DB8" w:rsidP="00AD0DB8">
      <w:pPr>
        <w:jc w:val="both"/>
        <w:rPr>
          <w:rFonts w:ascii="Arial" w:hAnsi="Arial" w:cs="Arial"/>
        </w:rPr>
      </w:pPr>
    </w:p>
    <w:p w:rsidR="00AD0DB8" w:rsidRDefault="00AD0DB8" w:rsidP="00AD0DB8">
      <w:pPr>
        <w:jc w:val="both"/>
        <w:rPr>
          <w:rFonts w:ascii="Arial" w:hAnsi="Arial" w:cs="Arial"/>
          <w:lang w:val="en-US"/>
        </w:rPr>
      </w:pPr>
      <w:r>
        <w:rPr>
          <w:rFonts w:ascii="Arial" w:hAnsi="Arial" w:cs="Arial"/>
          <w:lang w:val="en-US"/>
        </w:rPr>
        <w:t>If the case not listed above then display: NOT COMPUTED,</w:t>
      </w:r>
    </w:p>
    <w:p w:rsidR="00AD0DB8" w:rsidRDefault="00AD0DB8" w:rsidP="00AD0DB8">
      <w:pPr>
        <w:jc w:val="both"/>
        <w:rPr>
          <w:rFonts w:ascii="Arial" w:hAnsi="Arial" w:cs="Arial"/>
          <w:lang w:val="en-US"/>
        </w:rPr>
      </w:pPr>
    </w:p>
    <w:p w:rsidR="00AD0DB8" w:rsidRDefault="00AD0DB8" w:rsidP="00AD0DB8">
      <w:pPr>
        <w:jc w:val="both"/>
        <w:rPr>
          <w:rFonts w:ascii="Arial" w:hAnsi="Arial" w:cs="Arial"/>
          <w:lang w:val="en-US"/>
        </w:rPr>
      </w:pPr>
      <w:r>
        <w:rPr>
          <w:rFonts w:ascii="Arial" w:hAnsi="Arial" w:cs="Arial"/>
          <w:lang w:val="en-US"/>
        </w:rPr>
        <w:t>The consolidation at portfolio level will convert each line into the portfolio currency, then sum.</w:t>
      </w:r>
    </w:p>
    <w:p w:rsidR="00AD0DB8" w:rsidRDefault="00AD0DB8" w:rsidP="00AD0DB8">
      <w:pPr>
        <w:jc w:val="both"/>
        <w:rPr>
          <w:rFonts w:ascii="Arial" w:hAnsi="Arial" w:cs="Arial"/>
          <w:lang w:val="en-US"/>
        </w:rPr>
      </w:pPr>
    </w:p>
    <w:p w:rsidR="00AD0DB8" w:rsidRDefault="00AD0DB8" w:rsidP="00AD0DB8">
      <w:pPr>
        <w:jc w:val="both"/>
        <w:rPr>
          <w:rFonts w:ascii="Arial" w:hAnsi="Arial" w:cs="Arial"/>
          <w:lang w:val="en-US"/>
        </w:rPr>
      </w:pPr>
      <w:r>
        <w:rPr>
          <w:rFonts w:ascii="Arial" w:hAnsi="Arial" w:cs="Arial"/>
          <w:lang w:val="en-US"/>
        </w:rPr>
        <w:t>In case a position is set to NOT COMPUTED the consolidation at portfolio level should also be equal to NOT COMPUTED</w:t>
      </w:r>
    </w:p>
    <w:p w:rsidR="00AD0DB8" w:rsidRDefault="00AD0DB8" w:rsidP="00AD0DB8">
      <w:pPr>
        <w:jc w:val="both"/>
        <w:rPr>
          <w:rFonts w:ascii="Arial" w:hAnsi="Arial" w:cs="Arial"/>
          <w:lang w:val="en-US"/>
        </w:rPr>
      </w:pPr>
    </w:p>
    <w:p w:rsidR="00AD0DB8" w:rsidRPr="00952A0C" w:rsidRDefault="00AD0DB8" w:rsidP="00AD0DB8">
      <w:pPr>
        <w:jc w:val="both"/>
        <w:rPr>
          <w:rFonts w:ascii="Arial" w:hAnsi="Arial" w:cs="Arial"/>
          <w:b/>
          <w:lang w:val="en-US"/>
        </w:rPr>
      </w:pPr>
      <w:r w:rsidRPr="00952A0C">
        <w:rPr>
          <w:rFonts w:ascii="Arial" w:hAnsi="Arial" w:cs="Arial"/>
          <w:b/>
          <w:lang w:val="en-US"/>
        </w:rPr>
        <w:t xml:space="preserve">TKO </w:t>
      </w:r>
      <w:r>
        <w:rPr>
          <w:rFonts w:ascii="Arial" w:hAnsi="Arial" w:cs="Arial"/>
          <w:b/>
          <w:lang w:val="en-US"/>
        </w:rPr>
        <w:t>Leverage (Notional)</w:t>
      </w:r>
      <w:r w:rsidRPr="00952A0C">
        <w:rPr>
          <w:rFonts w:ascii="Arial" w:hAnsi="Arial" w:cs="Arial"/>
          <w:b/>
          <w:lang w:val="en-US"/>
        </w:rPr>
        <w:t xml:space="preserve"> </w:t>
      </w:r>
      <w:proofErr w:type="spellStart"/>
      <w:r w:rsidRPr="00952A0C">
        <w:rPr>
          <w:rFonts w:ascii="Arial" w:hAnsi="Arial" w:cs="Arial"/>
          <w:b/>
          <w:lang w:val="en-US"/>
        </w:rPr>
        <w:t>Curr</w:t>
      </w:r>
      <w:proofErr w:type="spellEnd"/>
      <w:r w:rsidRPr="00952A0C">
        <w:rPr>
          <w:rFonts w:ascii="Arial" w:hAnsi="Arial" w:cs="Arial"/>
          <w:b/>
          <w:lang w:val="en-US"/>
        </w:rPr>
        <w:t>. Folio</w:t>
      </w:r>
      <w:r>
        <w:rPr>
          <w:rFonts w:ascii="Arial" w:hAnsi="Arial" w:cs="Arial"/>
          <w:b/>
          <w:lang w:val="en-US"/>
        </w:rPr>
        <w:t xml:space="preserve"> (User column)</w:t>
      </w:r>
    </w:p>
    <w:p w:rsidR="00AD0DB8" w:rsidRDefault="00AD0DB8" w:rsidP="00AD0DB8">
      <w:pPr>
        <w:jc w:val="both"/>
        <w:rPr>
          <w:rFonts w:ascii="Arial" w:hAnsi="Arial" w:cs="Arial"/>
          <w:lang w:val="en-US"/>
        </w:rPr>
      </w:pPr>
      <w:r>
        <w:rPr>
          <w:rFonts w:ascii="Arial" w:hAnsi="Arial" w:cs="Arial"/>
          <w:lang w:val="en-US"/>
        </w:rPr>
        <w:t xml:space="preserve">This new column will convert the amount expressed </w:t>
      </w:r>
      <w:r w:rsidRPr="00986A8A">
        <w:rPr>
          <w:rFonts w:ascii="Arial" w:hAnsi="Arial" w:cs="Arial"/>
          <w:lang w:val="en-US"/>
        </w:rPr>
        <w:t>in TKO Leverage (Notional</w:t>
      </w:r>
      <w:r>
        <w:rPr>
          <w:rFonts w:ascii="Arial" w:hAnsi="Arial" w:cs="Arial"/>
          <w:b/>
          <w:lang w:val="en-US"/>
        </w:rPr>
        <w:t>)</w:t>
      </w:r>
      <w:r w:rsidRPr="00952A0C">
        <w:rPr>
          <w:rFonts w:ascii="Arial" w:hAnsi="Arial" w:cs="Arial"/>
          <w:b/>
          <w:lang w:val="en-US"/>
        </w:rPr>
        <w:t xml:space="preserve"> </w:t>
      </w:r>
      <w:r>
        <w:rPr>
          <w:rFonts w:ascii="Arial" w:hAnsi="Arial" w:cs="Arial"/>
          <w:lang w:val="en-US"/>
        </w:rPr>
        <w:t>to the folio currency</w:t>
      </w:r>
    </w:p>
    <w:p w:rsidR="00AD0DB8" w:rsidRDefault="00AD0DB8" w:rsidP="00AD0DB8">
      <w:pPr>
        <w:jc w:val="both"/>
        <w:rPr>
          <w:rFonts w:ascii="Arial" w:hAnsi="Arial" w:cs="Arial"/>
          <w:lang w:val="en-US"/>
        </w:rPr>
      </w:pPr>
    </w:p>
    <w:p w:rsidR="00AD0DB8" w:rsidRPr="00952A0C" w:rsidRDefault="00AD0DB8" w:rsidP="00AD0DB8">
      <w:pPr>
        <w:jc w:val="both"/>
        <w:rPr>
          <w:rFonts w:ascii="Arial" w:hAnsi="Arial" w:cs="Arial"/>
          <w:b/>
          <w:lang w:val="en-US"/>
        </w:rPr>
      </w:pPr>
      <w:r w:rsidRPr="00952A0C">
        <w:rPr>
          <w:rFonts w:ascii="Arial" w:hAnsi="Arial" w:cs="Arial"/>
          <w:b/>
          <w:lang w:val="en-US"/>
        </w:rPr>
        <w:t xml:space="preserve">TKO </w:t>
      </w:r>
      <w:r>
        <w:rPr>
          <w:rFonts w:ascii="Arial" w:hAnsi="Arial" w:cs="Arial"/>
          <w:b/>
          <w:lang w:val="en-US"/>
        </w:rPr>
        <w:t>Leverage (Notional)</w:t>
      </w:r>
      <w:r w:rsidRPr="00952A0C">
        <w:rPr>
          <w:rFonts w:ascii="Arial" w:hAnsi="Arial" w:cs="Arial"/>
          <w:b/>
          <w:lang w:val="en-US"/>
        </w:rPr>
        <w:t xml:space="preserve"> in % of NAV</w:t>
      </w:r>
      <w:r>
        <w:rPr>
          <w:rFonts w:ascii="Arial" w:hAnsi="Arial" w:cs="Arial"/>
          <w:b/>
          <w:lang w:val="en-US"/>
        </w:rPr>
        <w:t xml:space="preserve"> (User column)</w:t>
      </w:r>
    </w:p>
    <w:p w:rsidR="00AD0DB8" w:rsidRDefault="00AD0DB8" w:rsidP="00AD0DB8">
      <w:pPr>
        <w:jc w:val="both"/>
        <w:rPr>
          <w:rFonts w:ascii="Arial" w:hAnsi="Arial" w:cs="Arial"/>
          <w:lang w:val="en-US"/>
        </w:rPr>
      </w:pPr>
      <w:r>
        <w:rPr>
          <w:rFonts w:ascii="Arial" w:hAnsi="Arial" w:cs="Arial"/>
          <w:lang w:val="en-US"/>
        </w:rPr>
        <w:t xml:space="preserve">This new column is calculated as </w:t>
      </w:r>
      <w:r w:rsidRPr="00934246">
        <w:rPr>
          <w:rFonts w:ascii="Arial" w:hAnsi="Arial" w:cs="Arial"/>
          <w:lang w:val="en-US"/>
        </w:rPr>
        <w:t xml:space="preserve">TKO Leverage (Notional) </w:t>
      </w:r>
      <w:proofErr w:type="spellStart"/>
      <w:r w:rsidRPr="00934246">
        <w:rPr>
          <w:rFonts w:ascii="Arial" w:hAnsi="Arial" w:cs="Arial"/>
          <w:lang w:val="en-US"/>
        </w:rPr>
        <w:t>Curr</w:t>
      </w:r>
      <w:proofErr w:type="spellEnd"/>
      <w:r w:rsidRPr="00934246">
        <w:rPr>
          <w:rFonts w:ascii="Arial" w:hAnsi="Arial" w:cs="Arial"/>
          <w:lang w:val="en-US"/>
        </w:rPr>
        <w:t xml:space="preserve">. Folio </w:t>
      </w:r>
      <w:r>
        <w:rPr>
          <w:rFonts w:ascii="Arial" w:hAnsi="Arial" w:cs="Arial"/>
          <w:lang w:val="en-US"/>
        </w:rPr>
        <w:t>/ Fund NAV</w:t>
      </w:r>
    </w:p>
    <w:p w:rsidR="00CA5165" w:rsidRPr="00AD0DB8" w:rsidRDefault="00CA5165" w:rsidP="00AD0DB8">
      <w:pPr>
        <w:autoSpaceDE w:val="0"/>
        <w:autoSpaceDN w:val="0"/>
        <w:adjustRightInd w:val="0"/>
        <w:rPr>
          <w:b/>
          <w:sz w:val="22"/>
          <w:szCs w:val="22"/>
          <w:lang w:val="en-US"/>
        </w:rPr>
      </w:pPr>
    </w:p>
    <w:sectPr w:rsidR="00CA5165" w:rsidRPr="00AD0DB8" w:rsidSect="00DF15D3">
      <w:headerReference w:type="even" r:id="rId9"/>
      <w:headerReference w:type="default" r:id="rId10"/>
      <w:footerReference w:type="default" r:id="rId11"/>
      <w:headerReference w:type="first" r:id="rId12"/>
      <w:footerReference w:type="first" r:id="rId13"/>
      <w:pgSz w:w="11906" w:h="16838"/>
      <w:pgMar w:top="1134" w:right="1134" w:bottom="1134" w:left="1134" w:header="426"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41">
      <wne:acd wne:acdName="acd5"/>
    </wne:keymap>
    <wne:keymap wne:kcmPrimary="0643">
      <wne:acd wne:acdName="acd1"/>
    </wne:keymap>
    <wne:keymap wne:kcmPrimary="0646">
      <wne:acd wne:acdName="acd2"/>
    </wne:keymap>
    <wne:keymap wne:kcmPrimary="0647">
      <wne:acd wne:acdName="acd3"/>
    </wne:keymap>
    <wne:keymap wne:kcmPrimary="0654">
      <wne:acd wne:acdName="acd4"/>
    </wne:keymap>
  </wne:keymaps>
  <wne:toolbars>
    <wne:acdManifest>
      <wne:acdEntry wne:acdName="acd0"/>
      <wne:acdEntry wne:acdName="acd1"/>
      <wne:acdEntry wne:acdName="acd2"/>
      <wne:acdEntry wne:acdName="acd3"/>
      <wne:acdEntry wne:acdName="acd4"/>
      <wne:acdEntry wne:acdName="acd5"/>
    </wne:acdManifest>
  </wne:toolbars>
  <wne:acds>
    <wne:acd wne:argValue="AgAxAC0A" wne:acdName="acd0" wne:fciIndexBasedOn="0065"/>
    <wne:acd wne:argValue="AgBjAGEAcgByAOkAMgA=" wne:acdName="acd1" wne:fciIndexBasedOn="0065"/>
    <wne:acd wne:argValue="AgBmAGwA6ABjAGgAZQAyAA==" wne:acdName="acd2" wne:fciIndexBasedOn="0065"/>
    <wne:acd wne:argValue="AgBQAGUAdABpAHQAZQAgAEYAbADoAGMAaABlACoA" wne:acdName="acd3" wne:fciIndexBasedOn="0065"/>
    <wne:acd wne:argValue="AgB0AGUAeAB0ACoAKgA=" wne:acdName="acd4" wne:fciIndexBasedOn="0065"/>
    <wne:acd wne:argValue="AgBUAGkAdAByAGUAKgA=" wne:acdName="acd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15E" w:rsidRDefault="009A515E">
      <w:r>
        <w:separator/>
      </w:r>
    </w:p>
  </w:endnote>
  <w:endnote w:type="continuationSeparator" w:id="0">
    <w:p w:rsidR="009A515E" w:rsidRDefault="009A5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2849169"/>
      <w:docPartObj>
        <w:docPartGallery w:val="Page Numbers (Bottom of Page)"/>
        <w:docPartUnique/>
      </w:docPartObj>
    </w:sdtPr>
    <w:sdtEndPr>
      <w:rPr>
        <w:noProof/>
      </w:rPr>
    </w:sdtEndPr>
    <w:sdtContent>
      <w:p w:rsidR="003F452C" w:rsidRDefault="003F452C">
        <w:pPr>
          <w:pStyle w:val="Pieddepage"/>
          <w:jc w:val="right"/>
        </w:pPr>
        <w:r>
          <w:fldChar w:fldCharType="begin"/>
        </w:r>
        <w:r>
          <w:instrText xml:space="preserve"> PAGE   \* MERGEFORMAT </w:instrText>
        </w:r>
        <w:r>
          <w:fldChar w:fldCharType="separate"/>
        </w:r>
        <w:r w:rsidR="00A46CEE">
          <w:rPr>
            <w:noProof/>
          </w:rPr>
          <w:t>5</w:t>
        </w:r>
        <w:r>
          <w:rPr>
            <w:noProof/>
          </w:rPr>
          <w:fldChar w:fldCharType="end"/>
        </w:r>
      </w:p>
    </w:sdtContent>
  </w:sdt>
  <w:p w:rsidR="008F040D" w:rsidRDefault="008F040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4B3" w:rsidRPr="002E52A6" w:rsidRDefault="00DB04B3" w:rsidP="00DB04B3">
    <w:pPr>
      <w:pStyle w:val="Pieddepage"/>
      <w:jc w:val="center"/>
      <w:rPr>
        <w:rFonts w:ascii="Garamond" w:hAnsi="Garamond"/>
        <w:b/>
        <w:color w:val="333399"/>
        <w:sz w:val="18"/>
        <w:szCs w:val="18"/>
      </w:rPr>
    </w:pPr>
    <w:r w:rsidRPr="002E52A6">
      <w:rPr>
        <w:rFonts w:ascii="Garamond" w:hAnsi="Garamond"/>
        <w:b/>
        <w:color w:val="333399"/>
        <w:sz w:val="18"/>
        <w:szCs w:val="18"/>
      </w:rPr>
      <w:t xml:space="preserve">Tikehau Investment Management </w:t>
    </w:r>
  </w:p>
  <w:p w:rsidR="00DB04B3" w:rsidRPr="00A51C3D" w:rsidRDefault="00DB04B3" w:rsidP="00DB04B3">
    <w:pPr>
      <w:pStyle w:val="Pieddepage"/>
      <w:jc w:val="center"/>
      <w:rPr>
        <w:rFonts w:ascii="Garamond" w:hAnsi="Garamond"/>
        <w:color w:val="333399"/>
        <w:sz w:val="18"/>
        <w:szCs w:val="18"/>
      </w:rPr>
    </w:pPr>
    <w:r w:rsidRPr="00A51C3D">
      <w:rPr>
        <w:rFonts w:ascii="Garamond" w:hAnsi="Garamond"/>
        <w:color w:val="333399"/>
        <w:sz w:val="18"/>
        <w:szCs w:val="18"/>
      </w:rPr>
      <w:t>Société par Actions Simplifiée au capital de 2.</w:t>
    </w:r>
    <w:r w:rsidR="00A44CFC">
      <w:rPr>
        <w:rFonts w:ascii="Garamond" w:hAnsi="Garamond"/>
        <w:color w:val="333399"/>
        <w:sz w:val="18"/>
        <w:szCs w:val="18"/>
      </w:rPr>
      <w:t>366.500</w:t>
    </w:r>
    <w:r w:rsidRPr="00A51C3D">
      <w:rPr>
        <w:rFonts w:ascii="Garamond" w:hAnsi="Garamond"/>
        <w:color w:val="333399"/>
        <w:sz w:val="18"/>
        <w:szCs w:val="18"/>
      </w:rPr>
      <w:t xml:space="preserve"> EUR</w:t>
    </w:r>
  </w:p>
  <w:p w:rsidR="00DB04B3" w:rsidRPr="00A51C3D" w:rsidRDefault="00DB04B3" w:rsidP="00DB04B3">
    <w:pPr>
      <w:pStyle w:val="Pieddepage"/>
      <w:jc w:val="center"/>
      <w:rPr>
        <w:rFonts w:ascii="Garamond" w:hAnsi="Garamond"/>
        <w:color w:val="333399"/>
        <w:sz w:val="18"/>
        <w:szCs w:val="18"/>
      </w:rPr>
    </w:pPr>
    <w:r>
      <w:rPr>
        <w:rFonts w:ascii="Garamond" w:hAnsi="Garamond"/>
        <w:color w:val="333399"/>
        <w:sz w:val="18"/>
        <w:szCs w:val="18"/>
      </w:rPr>
      <w:t>32, rue de Monceau</w:t>
    </w:r>
    <w:r w:rsidRPr="00A51C3D">
      <w:rPr>
        <w:rFonts w:ascii="Garamond" w:hAnsi="Garamond"/>
        <w:color w:val="333399"/>
        <w:sz w:val="18"/>
        <w:szCs w:val="18"/>
      </w:rPr>
      <w:t xml:space="preserve"> </w:t>
    </w:r>
    <w:r>
      <w:rPr>
        <w:rFonts w:ascii="Garamond" w:hAnsi="Garamond"/>
        <w:color w:val="333399"/>
        <w:sz w:val="18"/>
        <w:szCs w:val="18"/>
      </w:rPr>
      <w:t xml:space="preserve">- </w:t>
    </w:r>
    <w:r w:rsidRPr="00A51C3D">
      <w:rPr>
        <w:rFonts w:ascii="Garamond" w:hAnsi="Garamond"/>
        <w:color w:val="333399"/>
        <w:sz w:val="18"/>
        <w:szCs w:val="18"/>
      </w:rPr>
      <w:t>75008 Paris</w:t>
    </w:r>
    <w:r>
      <w:rPr>
        <w:rFonts w:ascii="Garamond" w:hAnsi="Garamond"/>
        <w:color w:val="333399"/>
        <w:sz w:val="18"/>
        <w:szCs w:val="18"/>
      </w:rPr>
      <w:t xml:space="preserve"> • </w:t>
    </w:r>
    <w:r w:rsidRPr="00A51C3D">
      <w:rPr>
        <w:rFonts w:ascii="Garamond" w:hAnsi="Garamond"/>
        <w:color w:val="333399"/>
        <w:sz w:val="18"/>
        <w:szCs w:val="18"/>
      </w:rPr>
      <w:t xml:space="preserve">Tel : + 33 1 </w:t>
    </w:r>
    <w:r>
      <w:rPr>
        <w:rFonts w:ascii="Garamond" w:hAnsi="Garamond"/>
        <w:color w:val="333399"/>
        <w:sz w:val="18"/>
        <w:szCs w:val="18"/>
      </w:rPr>
      <w:t>53 59 05 00 •</w:t>
    </w:r>
    <w:r w:rsidRPr="00A51C3D">
      <w:rPr>
        <w:rFonts w:ascii="Garamond" w:hAnsi="Garamond"/>
        <w:color w:val="333399"/>
        <w:sz w:val="18"/>
        <w:szCs w:val="18"/>
      </w:rPr>
      <w:t xml:space="preserve"> Fax : + 33 1 53 59 05 20</w:t>
    </w:r>
  </w:p>
  <w:p w:rsidR="00DB04B3" w:rsidRPr="00DB04B3" w:rsidRDefault="00DB04B3" w:rsidP="00DB04B3">
    <w:pPr>
      <w:pStyle w:val="Pieddepage"/>
      <w:jc w:val="center"/>
      <w:rPr>
        <w:rFonts w:ascii="Garamond" w:hAnsi="Garamond"/>
        <w:color w:val="333399"/>
        <w:sz w:val="18"/>
        <w:szCs w:val="18"/>
      </w:rPr>
    </w:pPr>
    <w:r w:rsidRPr="00A51C3D">
      <w:rPr>
        <w:rFonts w:ascii="Garamond" w:hAnsi="Garamond"/>
        <w:color w:val="333399"/>
        <w:sz w:val="18"/>
        <w:szCs w:val="18"/>
      </w:rPr>
      <w:t>491 909</w:t>
    </w:r>
    <w:r>
      <w:rPr>
        <w:rFonts w:ascii="Garamond" w:hAnsi="Garamond"/>
        <w:color w:val="333399"/>
        <w:sz w:val="18"/>
        <w:szCs w:val="18"/>
      </w:rPr>
      <w:t> </w:t>
    </w:r>
    <w:r w:rsidRPr="00A51C3D">
      <w:rPr>
        <w:rFonts w:ascii="Garamond" w:hAnsi="Garamond"/>
        <w:color w:val="333399"/>
        <w:sz w:val="18"/>
        <w:szCs w:val="18"/>
      </w:rPr>
      <w:t>446</w:t>
    </w:r>
    <w:r>
      <w:rPr>
        <w:rFonts w:ascii="Garamond" w:hAnsi="Garamond"/>
        <w:color w:val="333399"/>
        <w:sz w:val="18"/>
        <w:szCs w:val="18"/>
      </w:rPr>
      <w:t xml:space="preserve"> </w:t>
    </w:r>
    <w:r w:rsidRPr="00A51C3D">
      <w:rPr>
        <w:rFonts w:ascii="Garamond" w:hAnsi="Garamond"/>
        <w:color w:val="333399"/>
        <w:sz w:val="18"/>
        <w:szCs w:val="18"/>
      </w:rPr>
      <w:t>RCS Paris</w:t>
    </w:r>
    <w:r>
      <w:rPr>
        <w:rFonts w:ascii="Garamond" w:hAnsi="Garamond"/>
        <w:color w:val="333399"/>
        <w:sz w:val="18"/>
        <w:szCs w:val="18"/>
      </w:rPr>
      <w:t xml:space="preserve"> •</w:t>
    </w:r>
    <w:r w:rsidRPr="00A51C3D">
      <w:rPr>
        <w:rFonts w:ascii="Garamond" w:hAnsi="Garamond"/>
        <w:color w:val="333399"/>
        <w:sz w:val="18"/>
        <w:szCs w:val="18"/>
      </w:rPr>
      <w:t xml:space="preserve"> Siret 491 909 446 </w:t>
    </w:r>
    <w:r>
      <w:rPr>
        <w:rFonts w:ascii="Garamond" w:hAnsi="Garamond"/>
        <w:color w:val="333399"/>
        <w:sz w:val="18"/>
        <w:szCs w:val="18"/>
      </w:rPr>
      <w:t xml:space="preserve">00057 • </w:t>
    </w:r>
    <w:r w:rsidRPr="00A51C3D">
      <w:rPr>
        <w:rFonts w:ascii="Garamond" w:hAnsi="Garamond"/>
        <w:color w:val="333399"/>
        <w:sz w:val="18"/>
        <w:szCs w:val="18"/>
      </w:rPr>
      <w:t>Courtier en assurance inscrit au registre ORIAS 09051177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15E" w:rsidRDefault="009A515E">
      <w:r>
        <w:separator/>
      </w:r>
    </w:p>
  </w:footnote>
  <w:footnote w:type="continuationSeparator" w:id="0">
    <w:p w:rsidR="009A515E" w:rsidRDefault="009A51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B1B" w:rsidRDefault="00A46CEE">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28181" o:spid="_x0000_s2051" type="#_x0000_t136" style="position:absolute;margin-left:0;margin-top:0;width:485.3pt;height:194.1pt;rotation:315;z-index:-25165107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B1B" w:rsidRDefault="00A46CEE">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28182" o:spid="_x0000_s2052" type="#_x0000_t136" style="position:absolute;margin-left:0;margin-top:0;width:485.3pt;height:194.1pt;rotation:315;z-index:-25164902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C50" w:rsidRDefault="00A46CEE" w:rsidP="00652F7F">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28180" o:spid="_x0000_s2050" type="#_x0000_t136" style="position:absolute;margin-left:0;margin-top:0;width:485.3pt;height:194.1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652F7F">
      <w:t xml:space="preserve"> </w:t>
    </w:r>
  </w:p>
  <w:tbl>
    <w:tblPr>
      <w:tblStyle w:val="Grilledutableau"/>
      <w:tblW w:w="0" w:type="auto"/>
      <w:tblLook w:val="04A0" w:firstRow="1" w:lastRow="0" w:firstColumn="1" w:lastColumn="0" w:noHBand="0" w:noVBand="1"/>
    </w:tblPr>
    <w:tblGrid>
      <w:gridCol w:w="1980"/>
      <w:gridCol w:w="1540"/>
      <w:gridCol w:w="3420"/>
      <w:gridCol w:w="1120"/>
      <w:gridCol w:w="1128"/>
    </w:tblGrid>
    <w:tr w:rsidR="00601C50" w:rsidRPr="00601C50" w:rsidTr="00601C50">
      <w:trPr>
        <w:trHeight w:val="300"/>
      </w:trPr>
      <w:tc>
        <w:tcPr>
          <w:tcW w:w="1980" w:type="dxa"/>
          <w:vMerge w:val="restart"/>
          <w:noWrap/>
          <w:hideMark/>
        </w:tcPr>
        <w:p w:rsidR="00601C50" w:rsidRPr="00601C50" w:rsidRDefault="00601C50" w:rsidP="00601C50">
          <w:pPr>
            <w:pStyle w:val="En-tte"/>
          </w:pPr>
          <w:r>
            <w:rPr>
              <w:noProof/>
            </w:rPr>
            <w:drawing>
              <wp:inline distT="0" distB="0" distL="0" distR="0" wp14:anchorId="2389B4F4" wp14:editId="74EFB407">
                <wp:extent cx="857250" cy="919189"/>
                <wp:effectExtent l="0" t="0" r="0" b="0"/>
                <wp:docPr id="33" name="Image 33" descr="C:\Users\aimbert\Desktop\charteGraphique\logo TIM_180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mbert\Desktop\charteGraphique\logo TIM_18041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421" cy="931167"/>
                        </a:xfrm>
                        <a:prstGeom prst="rect">
                          <a:avLst/>
                        </a:prstGeom>
                        <a:noFill/>
                        <a:ln>
                          <a:noFill/>
                        </a:ln>
                      </pic:spPr>
                    </pic:pic>
                  </a:graphicData>
                </a:graphic>
              </wp:inline>
            </w:drawing>
          </w:r>
        </w:p>
      </w:tc>
      <w:tc>
        <w:tcPr>
          <w:tcW w:w="1540" w:type="dxa"/>
          <w:noWrap/>
          <w:hideMark/>
        </w:tcPr>
        <w:p w:rsidR="00601C50" w:rsidRPr="00601C50" w:rsidRDefault="00601C50" w:rsidP="00601C50">
          <w:pPr>
            <w:pStyle w:val="En-tte"/>
          </w:pPr>
          <w:r w:rsidRPr="00601C50">
            <w:t>Rédacteur:</w:t>
          </w:r>
        </w:p>
      </w:tc>
      <w:tc>
        <w:tcPr>
          <w:tcW w:w="3420" w:type="dxa"/>
          <w:noWrap/>
          <w:hideMark/>
        </w:tcPr>
        <w:p w:rsidR="00601C50" w:rsidRPr="00601C50" w:rsidRDefault="00601C50" w:rsidP="00601C50">
          <w:pPr>
            <w:pStyle w:val="En-tte"/>
          </w:pPr>
          <w:r w:rsidRPr="00601C50">
            <w:t>Raphaël Hassan</w:t>
          </w:r>
        </w:p>
      </w:tc>
      <w:tc>
        <w:tcPr>
          <w:tcW w:w="1120" w:type="dxa"/>
          <w:noWrap/>
          <w:hideMark/>
        </w:tcPr>
        <w:p w:rsidR="00601C50" w:rsidRPr="00601C50" w:rsidRDefault="00601C50" w:rsidP="00601C50">
          <w:pPr>
            <w:pStyle w:val="En-tte"/>
          </w:pPr>
          <w:r w:rsidRPr="00601C50">
            <w:t>Référence:</w:t>
          </w:r>
        </w:p>
      </w:tc>
      <w:tc>
        <w:tcPr>
          <w:tcW w:w="1120" w:type="dxa"/>
          <w:noWrap/>
          <w:hideMark/>
        </w:tcPr>
        <w:p w:rsidR="00601C50" w:rsidRPr="00601C50" w:rsidRDefault="00601C50" w:rsidP="00601C50">
          <w:pPr>
            <w:pStyle w:val="En-tte"/>
          </w:pPr>
        </w:p>
      </w:tc>
    </w:tr>
    <w:tr w:rsidR="00601C50" w:rsidRPr="00601C50" w:rsidTr="00601C50">
      <w:trPr>
        <w:trHeight w:val="300"/>
      </w:trPr>
      <w:tc>
        <w:tcPr>
          <w:tcW w:w="1980" w:type="dxa"/>
          <w:vMerge/>
          <w:hideMark/>
        </w:tcPr>
        <w:p w:rsidR="00601C50" w:rsidRPr="00601C50" w:rsidRDefault="00601C50" w:rsidP="00601C50">
          <w:pPr>
            <w:pStyle w:val="En-tte"/>
          </w:pPr>
        </w:p>
      </w:tc>
      <w:tc>
        <w:tcPr>
          <w:tcW w:w="1540" w:type="dxa"/>
          <w:noWrap/>
          <w:hideMark/>
        </w:tcPr>
        <w:p w:rsidR="00601C50" w:rsidRPr="00601C50" w:rsidRDefault="00601C50" w:rsidP="00601C50">
          <w:pPr>
            <w:pStyle w:val="En-tte"/>
          </w:pPr>
          <w:proofErr w:type="spellStart"/>
          <w:r w:rsidRPr="00601C50">
            <w:t>Dépt</w:t>
          </w:r>
          <w:proofErr w:type="spellEnd"/>
          <w:r w:rsidRPr="00601C50">
            <w:t>.</w:t>
          </w:r>
        </w:p>
      </w:tc>
      <w:tc>
        <w:tcPr>
          <w:tcW w:w="3420" w:type="dxa"/>
          <w:noWrap/>
          <w:hideMark/>
        </w:tcPr>
        <w:p w:rsidR="00601C50" w:rsidRPr="00601C50" w:rsidRDefault="00601C50" w:rsidP="00601C50">
          <w:pPr>
            <w:pStyle w:val="En-tte"/>
            <w:tabs>
              <w:tab w:val="clear" w:pos="4536"/>
              <w:tab w:val="clear" w:pos="9072"/>
              <w:tab w:val="center" w:pos="1602"/>
            </w:tabs>
          </w:pPr>
          <w:r w:rsidRPr="00601C50">
            <w:t>Risques</w:t>
          </w:r>
          <w:r>
            <w:tab/>
          </w:r>
        </w:p>
      </w:tc>
      <w:tc>
        <w:tcPr>
          <w:tcW w:w="1120" w:type="dxa"/>
          <w:noWrap/>
          <w:hideMark/>
        </w:tcPr>
        <w:p w:rsidR="00601C50" w:rsidRPr="00601C50" w:rsidRDefault="00601C50" w:rsidP="00601C50">
          <w:pPr>
            <w:pStyle w:val="En-tte"/>
          </w:pPr>
          <w:r w:rsidRPr="00601C50">
            <w:t xml:space="preserve">Version: </w:t>
          </w:r>
        </w:p>
      </w:tc>
      <w:tc>
        <w:tcPr>
          <w:tcW w:w="1120" w:type="dxa"/>
          <w:noWrap/>
          <w:hideMark/>
        </w:tcPr>
        <w:p w:rsidR="00601C50" w:rsidRPr="00601C50" w:rsidRDefault="00601C50" w:rsidP="00601C50">
          <w:pPr>
            <w:pStyle w:val="En-tte"/>
          </w:pPr>
          <w:proofErr w:type="spellStart"/>
          <w:r w:rsidRPr="00601C50">
            <w:t>Draft</w:t>
          </w:r>
          <w:proofErr w:type="spellEnd"/>
          <w:r w:rsidRPr="00601C50">
            <w:t xml:space="preserve"> v1</w:t>
          </w:r>
        </w:p>
      </w:tc>
    </w:tr>
    <w:tr w:rsidR="00601C50" w:rsidRPr="00601C50" w:rsidTr="00601C50">
      <w:trPr>
        <w:trHeight w:val="300"/>
      </w:trPr>
      <w:tc>
        <w:tcPr>
          <w:tcW w:w="1980" w:type="dxa"/>
          <w:vMerge/>
          <w:hideMark/>
        </w:tcPr>
        <w:p w:rsidR="00601C50" w:rsidRPr="00601C50" w:rsidRDefault="00601C50" w:rsidP="00601C50">
          <w:pPr>
            <w:pStyle w:val="En-tte"/>
          </w:pPr>
        </w:p>
      </w:tc>
      <w:tc>
        <w:tcPr>
          <w:tcW w:w="1540" w:type="dxa"/>
          <w:noWrap/>
          <w:hideMark/>
        </w:tcPr>
        <w:p w:rsidR="00601C50" w:rsidRPr="00601C50" w:rsidRDefault="00601C50" w:rsidP="00601C50">
          <w:pPr>
            <w:pStyle w:val="En-tte"/>
          </w:pPr>
          <w:r w:rsidRPr="00601C50">
            <w:t>Validation:</w:t>
          </w:r>
        </w:p>
      </w:tc>
      <w:tc>
        <w:tcPr>
          <w:tcW w:w="3420" w:type="dxa"/>
          <w:noWrap/>
          <w:hideMark/>
        </w:tcPr>
        <w:p w:rsidR="00601C50" w:rsidRPr="00601C50" w:rsidRDefault="00601C50" w:rsidP="00601C50">
          <w:pPr>
            <w:pStyle w:val="En-tte"/>
          </w:pPr>
        </w:p>
      </w:tc>
      <w:tc>
        <w:tcPr>
          <w:tcW w:w="1120" w:type="dxa"/>
          <w:noWrap/>
          <w:hideMark/>
        </w:tcPr>
        <w:p w:rsidR="00601C50" w:rsidRPr="00601C50" w:rsidRDefault="00601C50" w:rsidP="00601C50">
          <w:pPr>
            <w:pStyle w:val="En-tte"/>
          </w:pPr>
          <w:r w:rsidRPr="00601C50">
            <w:t>Date:</w:t>
          </w:r>
        </w:p>
      </w:tc>
      <w:tc>
        <w:tcPr>
          <w:tcW w:w="1120" w:type="dxa"/>
          <w:noWrap/>
          <w:hideMark/>
        </w:tcPr>
        <w:p w:rsidR="00601C50" w:rsidRPr="00601C50" w:rsidRDefault="00601C50" w:rsidP="00601C50">
          <w:pPr>
            <w:pStyle w:val="En-tte"/>
          </w:pPr>
          <w:r w:rsidRPr="00601C50">
            <w:t>17/08/2015</w:t>
          </w:r>
        </w:p>
      </w:tc>
    </w:tr>
    <w:tr w:rsidR="00601C50" w:rsidRPr="00601C50" w:rsidTr="00601C50">
      <w:trPr>
        <w:trHeight w:val="770"/>
      </w:trPr>
      <w:tc>
        <w:tcPr>
          <w:tcW w:w="1980" w:type="dxa"/>
          <w:vMerge/>
          <w:hideMark/>
        </w:tcPr>
        <w:p w:rsidR="00601C50" w:rsidRPr="00601C50" w:rsidRDefault="00601C50" w:rsidP="00601C50">
          <w:pPr>
            <w:pStyle w:val="En-tte"/>
          </w:pPr>
        </w:p>
      </w:tc>
      <w:tc>
        <w:tcPr>
          <w:tcW w:w="1540" w:type="dxa"/>
          <w:noWrap/>
          <w:hideMark/>
        </w:tcPr>
        <w:p w:rsidR="00601C50" w:rsidRPr="00601C50" w:rsidRDefault="00601C50" w:rsidP="00601C50">
          <w:pPr>
            <w:pStyle w:val="En-tte"/>
          </w:pPr>
          <w:r w:rsidRPr="00601C50">
            <w:t>Date validation</w:t>
          </w:r>
        </w:p>
      </w:tc>
      <w:tc>
        <w:tcPr>
          <w:tcW w:w="3420" w:type="dxa"/>
          <w:noWrap/>
          <w:hideMark/>
        </w:tcPr>
        <w:p w:rsidR="00601C50" w:rsidRPr="00601C50" w:rsidRDefault="00601C50" w:rsidP="00601C50">
          <w:pPr>
            <w:pStyle w:val="En-tte"/>
          </w:pPr>
        </w:p>
      </w:tc>
      <w:tc>
        <w:tcPr>
          <w:tcW w:w="1120" w:type="dxa"/>
          <w:noWrap/>
          <w:hideMark/>
        </w:tcPr>
        <w:p w:rsidR="00601C50" w:rsidRPr="00601C50" w:rsidRDefault="00601C50" w:rsidP="00601C50">
          <w:pPr>
            <w:pStyle w:val="En-tte"/>
          </w:pPr>
        </w:p>
      </w:tc>
      <w:tc>
        <w:tcPr>
          <w:tcW w:w="1120" w:type="dxa"/>
          <w:noWrap/>
          <w:hideMark/>
        </w:tcPr>
        <w:p w:rsidR="00601C50" w:rsidRPr="00601C50" w:rsidRDefault="00601C50" w:rsidP="00601C50">
          <w:pPr>
            <w:pStyle w:val="En-tte"/>
          </w:pPr>
        </w:p>
      </w:tc>
    </w:tr>
  </w:tbl>
  <w:p w:rsidR="00601C50" w:rsidRDefault="00601C50" w:rsidP="00652F7F">
    <w:pPr>
      <w:pStyle w:val="En-tte"/>
    </w:pPr>
  </w:p>
  <w:p w:rsidR="00DB04B3" w:rsidRDefault="00DB04B3" w:rsidP="00652F7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6752"/>
    <w:multiLevelType w:val="hybridMultilevel"/>
    <w:tmpl w:val="1CF07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52381"/>
    <w:multiLevelType w:val="hybridMultilevel"/>
    <w:tmpl w:val="9DAEC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F06D8"/>
    <w:multiLevelType w:val="hybridMultilevel"/>
    <w:tmpl w:val="601C9E68"/>
    <w:lvl w:ilvl="0" w:tplc="CD5CEA02">
      <w:start w:val="7"/>
      <w:numFmt w:val="bullet"/>
      <w:lvlText w:val=""/>
      <w:lvlJc w:val="left"/>
      <w:pPr>
        <w:ind w:left="1800" w:hanging="360"/>
      </w:pPr>
      <w:rPr>
        <w:rFonts w:ascii="Wingdings" w:eastAsiaTheme="minorHAnsi" w:hAnsi="Wingdings" w:cstheme="minorBidi" w:hint="default"/>
        <w:b w:val="0"/>
        <w:sz w:val="20"/>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082770C6"/>
    <w:multiLevelType w:val="hybridMultilevel"/>
    <w:tmpl w:val="8E10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D0AB3"/>
    <w:multiLevelType w:val="hybridMultilevel"/>
    <w:tmpl w:val="D834F810"/>
    <w:lvl w:ilvl="0" w:tplc="040C0001">
      <w:start w:val="1"/>
      <w:numFmt w:val="bullet"/>
      <w:lvlText w:val=""/>
      <w:lvlJc w:val="left"/>
      <w:pPr>
        <w:ind w:left="1440" w:hanging="360"/>
      </w:pPr>
      <w:rPr>
        <w:rFonts w:ascii="Symbol" w:hAnsi="Symbol" w:hint="default"/>
        <w:color w:val="00206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5447DE0"/>
    <w:multiLevelType w:val="hybridMultilevel"/>
    <w:tmpl w:val="82103BB8"/>
    <w:lvl w:ilvl="0" w:tplc="6AA83D84">
      <w:numFmt w:val="bullet"/>
      <w:pStyle w:val="Carr"/>
      <w:lvlText w:val=""/>
      <w:lvlJc w:val="left"/>
      <w:pPr>
        <w:tabs>
          <w:tab w:val="num" w:pos="357"/>
        </w:tabs>
        <w:ind w:left="357" w:hanging="357"/>
      </w:pPr>
      <w:rPr>
        <w:rFonts w:ascii="Wingdings" w:eastAsia="Times New Roman" w:hAnsi="Wingdings" w:cs="Arial" w:hint="default"/>
        <w:sz w:val="16"/>
      </w:rPr>
    </w:lvl>
    <w:lvl w:ilvl="1" w:tplc="7542F3E6">
      <w:numFmt w:val="bullet"/>
      <w:lvlText w:val=""/>
      <w:lvlJc w:val="left"/>
      <w:pPr>
        <w:tabs>
          <w:tab w:val="num" w:pos="1440"/>
        </w:tabs>
        <w:ind w:left="1440" w:hanging="360"/>
      </w:pPr>
      <w:rPr>
        <w:rFonts w:ascii="Wingdings" w:eastAsia="Times New Roman" w:hAnsi="Wingdings"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E46645"/>
    <w:multiLevelType w:val="hybridMultilevel"/>
    <w:tmpl w:val="DA488E9A"/>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B807804"/>
    <w:multiLevelType w:val="hybridMultilevel"/>
    <w:tmpl w:val="DF1CD212"/>
    <w:lvl w:ilvl="0" w:tplc="FDAEBA2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10D68"/>
    <w:multiLevelType w:val="hybridMultilevel"/>
    <w:tmpl w:val="27F8BCFA"/>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15:restartNumberingAfterBreak="0">
    <w:nsid w:val="36726A71"/>
    <w:multiLevelType w:val="hybridMultilevel"/>
    <w:tmpl w:val="E1CAA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E6206"/>
    <w:multiLevelType w:val="hybridMultilevel"/>
    <w:tmpl w:val="FD9C070C"/>
    <w:lvl w:ilvl="0" w:tplc="E1A034EA">
      <w:numFmt w:val="bullet"/>
      <w:lvlText w:val=""/>
      <w:lvlJc w:val="left"/>
      <w:pPr>
        <w:tabs>
          <w:tab w:val="num" w:pos="720"/>
        </w:tabs>
        <w:ind w:left="720" w:hanging="360"/>
      </w:pPr>
      <w:rPr>
        <w:rFonts w:ascii="Wingdings" w:eastAsia="Times New Roman" w:hAnsi="Wingdings" w:cs="Arial" w:hint="default"/>
        <w:sz w:val="16"/>
      </w:rPr>
    </w:lvl>
    <w:lvl w:ilvl="1" w:tplc="975E9CBA">
      <w:numFmt w:val="bullet"/>
      <w:pStyle w:val="flche"/>
      <w:lvlText w:val=""/>
      <w:lvlJc w:val="left"/>
      <w:pPr>
        <w:tabs>
          <w:tab w:val="num" w:pos="1440"/>
        </w:tabs>
        <w:ind w:left="1440" w:hanging="360"/>
      </w:pPr>
      <w:rPr>
        <w:rFonts w:ascii="Wingdings" w:hAnsi="Wingdings" w:cs="Arial" w:hint="default"/>
        <w:sz w:val="16"/>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CA680F"/>
    <w:multiLevelType w:val="hybridMultilevel"/>
    <w:tmpl w:val="E21E2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A38C4"/>
    <w:multiLevelType w:val="multilevel"/>
    <w:tmpl w:val="897E0A16"/>
    <w:lvl w:ilvl="0">
      <w:start w:val="1"/>
      <w:numFmt w:val="decimal"/>
      <w:pStyle w:val="1"/>
      <w:lvlText w:val="%1."/>
      <w:lvlJc w:val="left"/>
      <w:pPr>
        <w:tabs>
          <w:tab w:val="num" w:pos="432"/>
        </w:tabs>
        <w:ind w:left="432" w:hanging="432"/>
      </w:pPr>
      <w:rPr>
        <w:rFonts w:hint="default"/>
      </w:rPr>
    </w:lvl>
    <w:lvl w:ilvl="1">
      <w:start w:val="1"/>
      <w:numFmt w:val="decimal"/>
      <w:pStyle w:val="1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46A4981"/>
    <w:multiLevelType w:val="hybridMultilevel"/>
    <w:tmpl w:val="34981760"/>
    <w:lvl w:ilvl="0" w:tplc="04090003">
      <w:start w:val="1"/>
      <w:numFmt w:val="bullet"/>
      <w:lvlText w:val="o"/>
      <w:lvlJc w:val="left"/>
      <w:pPr>
        <w:ind w:left="1776" w:hanging="360"/>
      </w:pPr>
      <w:rPr>
        <w:rFonts w:ascii="Courier New" w:hAnsi="Courier New" w:cs="Courier New" w:hint="default"/>
        <w:b w:val="0"/>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15:restartNumberingAfterBreak="0">
    <w:nsid w:val="479C6A59"/>
    <w:multiLevelType w:val="hybridMultilevel"/>
    <w:tmpl w:val="8A80D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44458"/>
    <w:multiLevelType w:val="hybridMultilevel"/>
    <w:tmpl w:val="8A80D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246E4"/>
    <w:multiLevelType w:val="hybridMultilevel"/>
    <w:tmpl w:val="BE4C0A26"/>
    <w:lvl w:ilvl="0" w:tplc="D8DE52BE">
      <w:start w:val="1"/>
      <w:numFmt w:val="bullet"/>
      <w:pStyle w:val="petiteflche"/>
      <w:lvlText w:val=""/>
      <w:lvlJc w:val="left"/>
      <w:pPr>
        <w:tabs>
          <w:tab w:val="num" w:pos="1980"/>
        </w:tabs>
        <w:ind w:left="1980" w:hanging="360"/>
      </w:pPr>
      <w:rPr>
        <w:rFonts w:ascii="Wingdings 3" w:hAnsi="Wingdings 3" w:hint="default"/>
      </w:rPr>
    </w:lvl>
    <w:lvl w:ilvl="1" w:tplc="040C0003" w:tentative="1">
      <w:start w:val="1"/>
      <w:numFmt w:val="bullet"/>
      <w:lvlText w:val="o"/>
      <w:lvlJc w:val="left"/>
      <w:pPr>
        <w:tabs>
          <w:tab w:val="num" w:pos="2700"/>
        </w:tabs>
        <w:ind w:left="2700" w:hanging="360"/>
      </w:pPr>
      <w:rPr>
        <w:rFonts w:ascii="Courier New" w:hAnsi="Courier New" w:cs="Courier New" w:hint="default"/>
      </w:rPr>
    </w:lvl>
    <w:lvl w:ilvl="2" w:tplc="040C0005" w:tentative="1">
      <w:start w:val="1"/>
      <w:numFmt w:val="bullet"/>
      <w:lvlText w:val=""/>
      <w:lvlJc w:val="left"/>
      <w:pPr>
        <w:tabs>
          <w:tab w:val="num" w:pos="3420"/>
        </w:tabs>
        <w:ind w:left="3420" w:hanging="360"/>
      </w:pPr>
      <w:rPr>
        <w:rFonts w:ascii="Wingdings" w:hAnsi="Wingdings" w:hint="default"/>
      </w:rPr>
    </w:lvl>
    <w:lvl w:ilvl="3" w:tplc="040C0001" w:tentative="1">
      <w:start w:val="1"/>
      <w:numFmt w:val="bullet"/>
      <w:lvlText w:val=""/>
      <w:lvlJc w:val="left"/>
      <w:pPr>
        <w:tabs>
          <w:tab w:val="num" w:pos="4140"/>
        </w:tabs>
        <w:ind w:left="4140" w:hanging="360"/>
      </w:pPr>
      <w:rPr>
        <w:rFonts w:ascii="Symbol" w:hAnsi="Symbol" w:hint="default"/>
      </w:rPr>
    </w:lvl>
    <w:lvl w:ilvl="4" w:tplc="040C0003" w:tentative="1">
      <w:start w:val="1"/>
      <w:numFmt w:val="bullet"/>
      <w:lvlText w:val="o"/>
      <w:lvlJc w:val="left"/>
      <w:pPr>
        <w:tabs>
          <w:tab w:val="num" w:pos="4860"/>
        </w:tabs>
        <w:ind w:left="4860" w:hanging="360"/>
      </w:pPr>
      <w:rPr>
        <w:rFonts w:ascii="Courier New" w:hAnsi="Courier New" w:cs="Courier New" w:hint="default"/>
      </w:rPr>
    </w:lvl>
    <w:lvl w:ilvl="5" w:tplc="040C0005" w:tentative="1">
      <w:start w:val="1"/>
      <w:numFmt w:val="bullet"/>
      <w:lvlText w:val=""/>
      <w:lvlJc w:val="left"/>
      <w:pPr>
        <w:tabs>
          <w:tab w:val="num" w:pos="5580"/>
        </w:tabs>
        <w:ind w:left="5580" w:hanging="360"/>
      </w:pPr>
      <w:rPr>
        <w:rFonts w:ascii="Wingdings" w:hAnsi="Wingdings" w:hint="default"/>
      </w:rPr>
    </w:lvl>
    <w:lvl w:ilvl="6" w:tplc="040C0001" w:tentative="1">
      <w:start w:val="1"/>
      <w:numFmt w:val="bullet"/>
      <w:lvlText w:val=""/>
      <w:lvlJc w:val="left"/>
      <w:pPr>
        <w:tabs>
          <w:tab w:val="num" w:pos="6300"/>
        </w:tabs>
        <w:ind w:left="6300" w:hanging="360"/>
      </w:pPr>
      <w:rPr>
        <w:rFonts w:ascii="Symbol" w:hAnsi="Symbol" w:hint="default"/>
      </w:rPr>
    </w:lvl>
    <w:lvl w:ilvl="7" w:tplc="040C0003" w:tentative="1">
      <w:start w:val="1"/>
      <w:numFmt w:val="bullet"/>
      <w:lvlText w:val="o"/>
      <w:lvlJc w:val="left"/>
      <w:pPr>
        <w:tabs>
          <w:tab w:val="num" w:pos="7020"/>
        </w:tabs>
        <w:ind w:left="7020" w:hanging="360"/>
      </w:pPr>
      <w:rPr>
        <w:rFonts w:ascii="Courier New" w:hAnsi="Courier New" w:cs="Courier New" w:hint="default"/>
      </w:rPr>
    </w:lvl>
    <w:lvl w:ilvl="8" w:tplc="040C0005" w:tentative="1">
      <w:start w:val="1"/>
      <w:numFmt w:val="bullet"/>
      <w:lvlText w:val=""/>
      <w:lvlJc w:val="left"/>
      <w:pPr>
        <w:tabs>
          <w:tab w:val="num" w:pos="7740"/>
        </w:tabs>
        <w:ind w:left="7740" w:hanging="360"/>
      </w:pPr>
      <w:rPr>
        <w:rFonts w:ascii="Wingdings" w:hAnsi="Wingdings" w:hint="default"/>
      </w:rPr>
    </w:lvl>
  </w:abstractNum>
  <w:abstractNum w:abstractNumId="17" w15:restartNumberingAfterBreak="0">
    <w:nsid w:val="5BE3639E"/>
    <w:multiLevelType w:val="hybridMultilevel"/>
    <w:tmpl w:val="49C6802E"/>
    <w:lvl w:ilvl="0" w:tplc="793A0CCC">
      <w:start w:val="1"/>
      <w:numFmt w:val="decimal"/>
      <w:pStyle w:val="1-"/>
      <w:lvlText w:val="%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8" w15:restartNumberingAfterBreak="0">
    <w:nsid w:val="5D0264A6"/>
    <w:multiLevelType w:val="hybridMultilevel"/>
    <w:tmpl w:val="8A80D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A27CC8"/>
    <w:multiLevelType w:val="hybridMultilevel"/>
    <w:tmpl w:val="52200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C63B8A"/>
    <w:multiLevelType w:val="hybridMultilevel"/>
    <w:tmpl w:val="BDDA09E8"/>
    <w:lvl w:ilvl="0" w:tplc="FDAEBA20">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E3999"/>
    <w:multiLevelType w:val="hybridMultilevel"/>
    <w:tmpl w:val="F26A973E"/>
    <w:lvl w:ilvl="0" w:tplc="040C0001">
      <w:start w:val="1"/>
      <w:numFmt w:val="bullet"/>
      <w:lvlText w:val=""/>
      <w:lvlJc w:val="left"/>
      <w:pPr>
        <w:ind w:left="16164" w:hanging="360"/>
      </w:pPr>
      <w:rPr>
        <w:rFonts w:ascii="Symbol" w:hAnsi="Symbol" w:hint="default"/>
      </w:rPr>
    </w:lvl>
    <w:lvl w:ilvl="1" w:tplc="040C0003" w:tentative="1">
      <w:start w:val="1"/>
      <w:numFmt w:val="bullet"/>
      <w:lvlText w:val="o"/>
      <w:lvlJc w:val="left"/>
      <w:pPr>
        <w:ind w:left="16884" w:hanging="360"/>
      </w:pPr>
      <w:rPr>
        <w:rFonts w:ascii="Courier New" w:hAnsi="Courier New" w:cs="Courier New" w:hint="default"/>
      </w:rPr>
    </w:lvl>
    <w:lvl w:ilvl="2" w:tplc="040C0005" w:tentative="1">
      <w:start w:val="1"/>
      <w:numFmt w:val="bullet"/>
      <w:lvlText w:val=""/>
      <w:lvlJc w:val="left"/>
      <w:pPr>
        <w:ind w:left="17604" w:hanging="360"/>
      </w:pPr>
      <w:rPr>
        <w:rFonts w:ascii="Wingdings" w:hAnsi="Wingdings" w:hint="default"/>
      </w:rPr>
    </w:lvl>
    <w:lvl w:ilvl="3" w:tplc="040C0001" w:tentative="1">
      <w:start w:val="1"/>
      <w:numFmt w:val="bullet"/>
      <w:lvlText w:val=""/>
      <w:lvlJc w:val="left"/>
      <w:pPr>
        <w:ind w:left="18324" w:hanging="360"/>
      </w:pPr>
      <w:rPr>
        <w:rFonts w:ascii="Symbol" w:hAnsi="Symbol" w:hint="default"/>
      </w:rPr>
    </w:lvl>
    <w:lvl w:ilvl="4" w:tplc="040C0003" w:tentative="1">
      <w:start w:val="1"/>
      <w:numFmt w:val="bullet"/>
      <w:lvlText w:val="o"/>
      <w:lvlJc w:val="left"/>
      <w:pPr>
        <w:ind w:left="19044" w:hanging="360"/>
      </w:pPr>
      <w:rPr>
        <w:rFonts w:ascii="Courier New" w:hAnsi="Courier New" w:cs="Courier New" w:hint="default"/>
      </w:rPr>
    </w:lvl>
    <w:lvl w:ilvl="5" w:tplc="040C0005" w:tentative="1">
      <w:start w:val="1"/>
      <w:numFmt w:val="bullet"/>
      <w:lvlText w:val=""/>
      <w:lvlJc w:val="left"/>
      <w:pPr>
        <w:ind w:left="19764" w:hanging="360"/>
      </w:pPr>
      <w:rPr>
        <w:rFonts w:ascii="Wingdings" w:hAnsi="Wingdings" w:hint="default"/>
      </w:rPr>
    </w:lvl>
    <w:lvl w:ilvl="6" w:tplc="040C0001" w:tentative="1">
      <w:start w:val="1"/>
      <w:numFmt w:val="bullet"/>
      <w:lvlText w:val=""/>
      <w:lvlJc w:val="left"/>
      <w:pPr>
        <w:ind w:left="20484" w:hanging="360"/>
      </w:pPr>
      <w:rPr>
        <w:rFonts w:ascii="Symbol" w:hAnsi="Symbol" w:hint="default"/>
      </w:rPr>
    </w:lvl>
    <w:lvl w:ilvl="7" w:tplc="040C0003" w:tentative="1">
      <w:start w:val="1"/>
      <w:numFmt w:val="bullet"/>
      <w:lvlText w:val="o"/>
      <w:lvlJc w:val="left"/>
      <w:pPr>
        <w:ind w:left="21204" w:hanging="360"/>
      </w:pPr>
      <w:rPr>
        <w:rFonts w:ascii="Courier New" w:hAnsi="Courier New" w:cs="Courier New" w:hint="default"/>
      </w:rPr>
    </w:lvl>
    <w:lvl w:ilvl="8" w:tplc="040C0005" w:tentative="1">
      <w:start w:val="1"/>
      <w:numFmt w:val="bullet"/>
      <w:lvlText w:val=""/>
      <w:lvlJc w:val="left"/>
      <w:pPr>
        <w:ind w:left="21924" w:hanging="360"/>
      </w:pPr>
      <w:rPr>
        <w:rFonts w:ascii="Wingdings" w:hAnsi="Wingdings" w:hint="default"/>
      </w:rPr>
    </w:lvl>
  </w:abstractNum>
  <w:abstractNum w:abstractNumId="22" w15:restartNumberingAfterBreak="0">
    <w:nsid w:val="654A1629"/>
    <w:multiLevelType w:val="hybridMultilevel"/>
    <w:tmpl w:val="B87E70C2"/>
    <w:lvl w:ilvl="0" w:tplc="1DE41C14">
      <w:start w:val="1"/>
      <w:numFmt w:val="decimal"/>
      <w:pStyle w:val="petit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6C1128DB"/>
    <w:multiLevelType w:val="hybridMultilevel"/>
    <w:tmpl w:val="75EA20B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6C8B6ED3"/>
    <w:multiLevelType w:val="hybridMultilevel"/>
    <w:tmpl w:val="B918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BE169A"/>
    <w:multiLevelType w:val="hybridMultilevel"/>
    <w:tmpl w:val="2D4AB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C4EB2"/>
    <w:multiLevelType w:val="hybridMultilevel"/>
    <w:tmpl w:val="E00E3B42"/>
    <w:lvl w:ilvl="0" w:tplc="E1A034EA">
      <w:numFmt w:val="bullet"/>
      <w:lvlText w:val=""/>
      <w:lvlJc w:val="left"/>
      <w:pPr>
        <w:tabs>
          <w:tab w:val="num" w:pos="720"/>
        </w:tabs>
        <w:ind w:left="720" w:hanging="360"/>
      </w:pPr>
      <w:rPr>
        <w:rFonts w:ascii="Wingdings" w:eastAsia="Times New Roman" w:hAnsi="Wingdings" w:cs="Arial" w:hint="default"/>
        <w:sz w:val="16"/>
      </w:rPr>
    </w:lvl>
    <w:lvl w:ilvl="1" w:tplc="B4081BC8">
      <w:start w:val="1"/>
      <w:numFmt w:val="bullet"/>
      <w:pStyle w:val="FlecheBilan"/>
      <w:lvlText w:val=""/>
      <w:lvlJc w:val="left"/>
      <w:pPr>
        <w:tabs>
          <w:tab w:val="num" w:pos="1440"/>
        </w:tabs>
        <w:ind w:left="1440" w:hanging="360"/>
      </w:pPr>
      <w:rPr>
        <w:rFonts w:ascii="Wingdings 3" w:hAnsi="Wingdings 3" w:hint="default"/>
        <w:sz w:val="24"/>
        <w:szCs w:val="24"/>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481FAA"/>
    <w:multiLevelType w:val="hybridMultilevel"/>
    <w:tmpl w:val="C660D0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311D8C"/>
    <w:multiLevelType w:val="hybridMultilevel"/>
    <w:tmpl w:val="3592B4D6"/>
    <w:lvl w:ilvl="0" w:tplc="07CA3EE0">
      <w:start w:val="1"/>
      <w:numFmt w:val="decimal"/>
      <w:lvlText w:val="%1."/>
      <w:lvlJc w:val="left"/>
      <w:pPr>
        <w:ind w:left="720" w:hanging="360"/>
      </w:pPr>
      <w:rPr>
        <w:rFonts w:ascii="Times New Roman" w:eastAsia="Times New Roman" w:hAnsi="Times New Roman" w:cs="Times New Roman"/>
        <w:color w:val="00206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E066E90"/>
    <w:multiLevelType w:val="hybridMultilevel"/>
    <w:tmpl w:val="7590A9D8"/>
    <w:lvl w:ilvl="0" w:tplc="34F60778">
      <w:numFmt w:val="bullet"/>
      <w:lvlText w:val=""/>
      <w:lvlJc w:val="left"/>
      <w:pPr>
        <w:ind w:left="1800" w:hanging="360"/>
      </w:pPr>
      <w:rPr>
        <w:rFonts w:ascii="Wingdings" w:eastAsiaTheme="minorHAnsi" w:hAnsi="Wingdings" w:cstheme="minorBidi" w:hint="default"/>
        <w:b/>
      </w:rPr>
    </w:lvl>
    <w:lvl w:ilvl="1" w:tplc="CD5CEA02">
      <w:start w:val="7"/>
      <w:numFmt w:val="bullet"/>
      <w:lvlText w:val=""/>
      <w:lvlJc w:val="left"/>
      <w:pPr>
        <w:ind w:left="2520" w:hanging="360"/>
      </w:pPr>
      <w:rPr>
        <w:rFonts w:ascii="Wingdings" w:eastAsiaTheme="minorHAnsi" w:hAnsi="Wingdings" w:cstheme="minorBidi" w:hint="default"/>
        <w:b w:val="0"/>
        <w:sz w:val="20"/>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16"/>
  </w:num>
  <w:num w:numId="3">
    <w:abstractNumId w:val="12"/>
  </w:num>
  <w:num w:numId="4">
    <w:abstractNumId w:val="22"/>
  </w:num>
  <w:num w:numId="5">
    <w:abstractNumId w:val="17"/>
  </w:num>
  <w:num w:numId="6">
    <w:abstractNumId w:val="5"/>
  </w:num>
  <w:num w:numId="7">
    <w:abstractNumId w:val="26"/>
  </w:num>
  <w:num w:numId="8">
    <w:abstractNumId w:val="28"/>
  </w:num>
  <w:num w:numId="9">
    <w:abstractNumId w:val="6"/>
  </w:num>
  <w:num w:numId="10">
    <w:abstractNumId w:val="21"/>
  </w:num>
  <w:num w:numId="11">
    <w:abstractNumId w:val="4"/>
  </w:num>
  <w:num w:numId="12">
    <w:abstractNumId w:val="23"/>
  </w:num>
  <w:num w:numId="13">
    <w:abstractNumId w:val="13"/>
  </w:num>
  <w:num w:numId="14">
    <w:abstractNumId w:val="8"/>
  </w:num>
  <w:num w:numId="15">
    <w:abstractNumId w:val="2"/>
  </w:num>
  <w:num w:numId="16">
    <w:abstractNumId w:val="29"/>
  </w:num>
  <w:num w:numId="17">
    <w:abstractNumId w:val="19"/>
  </w:num>
  <w:num w:numId="18">
    <w:abstractNumId w:val="0"/>
  </w:num>
  <w:num w:numId="19">
    <w:abstractNumId w:val="25"/>
  </w:num>
  <w:num w:numId="20">
    <w:abstractNumId w:val="9"/>
  </w:num>
  <w:num w:numId="21">
    <w:abstractNumId w:val="27"/>
  </w:num>
  <w:num w:numId="22">
    <w:abstractNumId w:val="24"/>
  </w:num>
  <w:num w:numId="23">
    <w:abstractNumId w:val="18"/>
  </w:num>
  <w:num w:numId="24">
    <w:abstractNumId w:val="11"/>
  </w:num>
  <w:num w:numId="25">
    <w:abstractNumId w:val="15"/>
  </w:num>
  <w:num w:numId="26">
    <w:abstractNumId w:val="3"/>
  </w:num>
  <w:num w:numId="27">
    <w:abstractNumId w:val="7"/>
  </w:num>
  <w:num w:numId="28">
    <w:abstractNumId w:val="1"/>
  </w:num>
  <w:num w:numId="29">
    <w:abstractNumId w:val="20"/>
  </w:num>
  <w:num w:numId="30">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835"/>
    <w:rsid w:val="000000D2"/>
    <w:rsid w:val="0000046E"/>
    <w:rsid w:val="00001BC4"/>
    <w:rsid w:val="00002626"/>
    <w:rsid w:val="0000743F"/>
    <w:rsid w:val="00010D32"/>
    <w:rsid w:val="0001598F"/>
    <w:rsid w:val="00017399"/>
    <w:rsid w:val="000254D5"/>
    <w:rsid w:val="00026333"/>
    <w:rsid w:val="00026EAB"/>
    <w:rsid w:val="00026EEE"/>
    <w:rsid w:val="0002774B"/>
    <w:rsid w:val="000352AE"/>
    <w:rsid w:val="0004056B"/>
    <w:rsid w:val="00041D69"/>
    <w:rsid w:val="00042F42"/>
    <w:rsid w:val="00045FB2"/>
    <w:rsid w:val="00046585"/>
    <w:rsid w:val="000468FF"/>
    <w:rsid w:val="00047320"/>
    <w:rsid w:val="000514D4"/>
    <w:rsid w:val="00052D9E"/>
    <w:rsid w:val="00057C99"/>
    <w:rsid w:val="0006215C"/>
    <w:rsid w:val="00062E86"/>
    <w:rsid w:val="0007106C"/>
    <w:rsid w:val="00071BBA"/>
    <w:rsid w:val="00077B1E"/>
    <w:rsid w:val="00080545"/>
    <w:rsid w:val="000834FE"/>
    <w:rsid w:val="0008383A"/>
    <w:rsid w:val="000901EC"/>
    <w:rsid w:val="00091473"/>
    <w:rsid w:val="00092126"/>
    <w:rsid w:val="00095BEE"/>
    <w:rsid w:val="000A36EB"/>
    <w:rsid w:val="000A6B32"/>
    <w:rsid w:val="000B3190"/>
    <w:rsid w:val="000B608F"/>
    <w:rsid w:val="000B6E2B"/>
    <w:rsid w:val="000C3394"/>
    <w:rsid w:val="000C3D5B"/>
    <w:rsid w:val="000C3EC2"/>
    <w:rsid w:val="000D25AE"/>
    <w:rsid w:val="000D5EA6"/>
    <w:rsid w:val="000D6A27"/>
    <w:rsid w:val="000D74AB"/>
    <w:rsid w:val="000E021B"/>
    <w:rsid w:val="000E1678"/>
    <w:rsid w:val="000E6492"/>
    <w:rsid w:val="000E66C2"/>
    <w:rsid w:val="000E7FAB"/>
    <w:rsid w:val="000F4F5D"/>
    <w:rsid w:val="000F537B"/>
    <w:rsid w:val="00101046"/>
    <w:rsid w:val="00102E4F"/>
    <w:rsid w:val="00103F9C"/>
    <w:rsid w:val="00105BE0"/>
    <w:rsid w:val="0010711B"/>
    <w:rsid w:val="001110BF"/>
    <w:rsid w:val="00113690"/>
    <w:rsid w:val="00114C43"/>
    <w:rsid w:val="001173CA"/>
    <w:rsid w:val="0012357A"/>
    <w:rsid w:val="00130557"/>
    <w:rsid w:val="00135E28"/>
    <w:rsid w:val="00136AA0"/>
    <w:rsid w:val="001371DA"/>
    <w:rsid w:val="001375A8"/>
    <w:rsid w:val="00140C09"/>
    <w:rsid w:val="00142363"/>
    <w:rsid w:val="00143650"/>
    <w:rsid w:val="0014416A"/>
    <w:rsid w:val="00145694"/>
    <w:rsid w:val="00152AF9"/>
    <w:rsid w:val="00155139"/>
    <w:rsid w:val="001568F1"/>
    <w:rsid w:val="001601DE"/>
    <w:rsid w:val="00170424"/>
    <w:rsid w:val="001713C1"/>
    <w:rsid w:val="00172694"/>
    <w:rsid w:val="001730CF"/>
    <w:rsid w:val="001756D3"/>
    <w:rsid w:val="00175C1F"/>
    <w:rsid w:val="00176299"/>
    <w:rsid w:val="001767A9"/>
    <w:rsid w:val="00176D93"/>
    <w:rsid w:val="00185F38"/>
    <w:rsid w:val="00190894"/>
    <w:rsid w:val="00192828"/>
    <w:rsid w:val="0019331D"/>
    <w:rsid w:val="001A0044"/>
    <w:rsid w:val="001A1146"/>
    <w:rsid w:val="001A16AB"/>
    <w:rsid w:val="001A332C"/>
    <w:rsid w:val="001A5610"/>
    <w:rsid w:val="001A6A88"/>
    <w:rsid w:val="001B3B1B"/>
    <w:rsid w:val="001B4E06"/>
    <w:rsid w:val="001B537C"/>
    <w:rsid w:val="001B69A6"/>
    <w:rsid w:val="001C0F82"/>
    <w:rsid w:val="001C4CFF"/>
    <w:rsid w:val="001C5A95"/>
    <w:rsid w:val="001C792E"/>
    <w:rsid w:val="001D3346"/>
    <w:rsid w:val="001D3985"/>
    <w:rsid w:val="001D5417"/>
    <w:rsid w:val="001D70C4"/>
    <w:rsid w:val="001E0E8B"/>
    <w:rsid w:val="001E13D0"/>
    <w:rsid w:val="001E1C31"/>
    <w:rsid w:val="001E20F0"/>
    <w:rsid w:val="001E3BD7"/>
    <w:rsid w:val="001F03CD"/>
    <w:rsid w:val="001F0D9E"/>
    <w:rsid w:val="001F3087"/>
    <w:rsid w:val="001F704F"/>
    <w:rsid w:val="001F77EA"/>
    <w:rsid w:val="002071B2"/>
    <w:rsid w:val="00211BC4"/>
    <w:rsid w:val="00213778"/>
    <w:rsid w:val="00225C18"/>
    <w:rsid w:val="00226BF8"/>
    <w:rsid w:val="002275C1"/>
    <w:rsid w:val="00233A4D"/>
    <w:rsid w:val="00233C93"/>
    <w:rsid w:val="00233D53"/>
    <w:rsid w:val="00235A60"/>
    <w:rsid w:val="00243967"/>
    <w:rsid w:val="0024522F"/>
    <w:rsid w:val="00246175"/>
    <w:rsid w:val="00252510"/>
    <w:rsid w:val="002555F3"/>
    <w:rsid w:val="00257095"/>
    <w:rsid w:val="00260604"/>
    <w:rsid w:val="00260A5E"/>
    <w:rsid w:val="0026573F"/>
    <w:rsid w:val="0026673C"/>
    <w:rsid w:val="00273D59"/>
    <w:rsid w:val="00274C25"/>
    <w:rsid w:val="002800EC"/>
    <w:rsid w:val="00280B0B"/>
    <w:rsid w:val="002815E5"/>
    <w:rsid w:val="00281E02"/>
    <w:rsid w:val="00282D2A"/>
    <w:rsid w:val="00284E9E"/>
    <w:rsid w:val="00286CB0"/>
    <w:rsid w:val="0029050D"/>
    <w:rsid w:val="002910E1"/>
    <w:rsid w:val="0029173D"/>
    <w:rsid w:val="00293008"/>
    <w:rsid w:val="00293DE9"/>
    <w:rsid w:val="002940EA"/>
    <w:rsid w:val="002971FA"/>
    <w:rsid w:val="002A107B"/>
    <w:rsid w:val="002A1296"/>
    <w:rsid w:val="002A3B62"/>
    <w:rsid w:val="002A7586"/>
    <w:rsid w:val="002B1D23"/>
    <w:rsid w:val="002B20B6"/>
    <w:rsid w:val="002B62BA"/>
    <w:rsid w:val="002C3AC2"/>
    <w:rsid w:val="002D6242"/>
    <w:rsid w:val="002D75E7"/>
    <w:rsid w:val="002D791C"/>
    <w:rsid w:val="002E1E46"/>
    <w:rsid w:val="002E2A01"/>
    <w:rsid w:val="002E2C72"/>
    <w:rsid w:val="002E3247"/>
    <w:rsid w:val="002E52A6"/>
    <w:rsid w:val="002E68F2"/>
    <w:rsid w:val="002E6E4A"/>
    <w:rsid w:val="002F241C"/>
    <w:rsid w:val="002F61A9"/>
    <w:rsid w:val="002F6AC3"/>
    <w:rsid w:val="002F7A1F"/>
    <w:rsid w:val="002F7D18"/>
    <w:rsid w:val="00300014"/>
    <w:rsid w:val="0030279E"/>
    <w:rsid w:val="00304D76"/>
    <w:rsid w:val="00305D90"/>
    <w:rsid w:val="00313A62"/>
    <w:rsid w:val="0031497D"/>
    <w:rsid w:val="00314FBE"/>
    <w:rsid w:val="00316823"/>
    <w:rsid w:val="0032053C"/>
    <w:rsid w:val="00323B19"/>
    <w:rsid w:val="00327A11"/>
    <w:rsid w:val="00327E8B"/>
    <w:rsid w:val="00330B03"/>
    <w:rsid w:val="00332417"/>
    <w:rsid w:val="00333CD8"/>
    <w:rsid w:val="003359AA"/>
    <w:rsid w:val="00336D20"/>
    <w:rsid w:val="00336D89"/>
    <w:rsid w:val="0033716E"/>
    <w:rsid w:val="00346803"/>
    <w:rsid w:val="00346A7C"/>
    <w:rsid w:val="00347432"/>
    <w:rsid w:val="003476C5"/>
    <w:rsid w:val="00350B18"/>
    <w:rsid w:val="0035180B"/>
    <w:rsid w:val="003558DB"/>
    <w:rsid w:val="00357F71"/>
    <w:rsid w:val="00360426"/>
    <w:rsid w:val="0036298A"/>
    <w:rsid w:val="0036391B"/>
    <w:rsid w:val="003643D4"/>
    <w:rsid w:val="00366394"/>
    <w:rsid w:val="003668B8"/>
    <w:rsid w:val="00370E88"/>
    <w:rsid w:val="003712C5"/>
    <w:rsid w:val="00372654"/>
    <w:rsid w:val="003730FB"/>
    <w:rsid w:val="00373F5E"/>
    <w:rsid w:val="00375743"/>
    <w:rsid w:val="003766FD"/>
    <w:rsid w:val="00376799"/>
    <w:rsid w:val="00382A60"/>
    <w:rsid w:val="00383BDB"/>
    <w:rsid w:val="003923D8"/>
    <w:rsid w:val="003944AA"/>
    <w:rsid w:val="00395A9D"/>
    <w:rsid w:val="003966F1"/>
    <w:rsid w:val="003A0002"/>
    <w:rsid w:val="003A1833"/>
    <w:rsid w:val="003A46A6"/>
    <w:rsid w:val="003A51ED"/>
    <w:rsid w:val="003B115E"/>
    <w:rsid w:val="003B1E37"/>
    <w:rsid w:val="003B37E5"/>
    <w:rsid w:val="003B60EB"/>
    <w:rsid w:val="003C0A54"/>
    <w:rsid w:val="003C2DA7"/>
    <w:rsid w:val="003C3226"/>
    <w:rsid w:val="003C62B0"/>
    <w:rsid w:val="003D2A5B"/>
    <w:rsid w:val="003D3239"/>
    <w:rsid w:val="003D6C37"/>
    <w:rsid w:val="003D7C78"/>
    <w:rsid w:val="003E0C22"/>
    <w:rsid w:val="003E318B"/>
    <w:rsid w:val="003E48CF"/>
    <w:rsid w:val="003F452C"/>
    <w:rsid w:val="003F74AD"/>
    <w:rsid w:val="004004D4"/>
    <w:rsid w:val="004039A2"/>
    <w:rsid w:val="0041214C"/>
    <w:rsid w:val="00414273"/>
    <w:rsid w:val="00414688"/>
    <w:rsid w:val="00417CAC"/>
    <w:rsid w:val="00421077"/>
    <w:rsid w:val="00425451"/>
    <w:rsid w:val="00426D2F"/>
    <w:rsid w:val="0043187E"/>
    <w:rsid w:val="0043360D"/>
    <w:rsid w:val="0043536E"/>
    <w:rsid w:val="004358F0"/>
    <w:rsid w:val="00436802"/>
    <w:rsid w:val="00436B4C"/>
    <w:rsid w:val="00441D3E"/>
    <w:rsid w:val="004461A2"/>
    <w:rsid w:val="00450492"/>
    <w:rsid w:val="00451226"/>
    <w:rsid w:val="0045167A"/>
    <w:rsid w:val="004560C2"/>
    <w:rsid w:val="00456635"/>
    <w:rsid w:val="0045798A"/>
    <w:rsid w:val="004602B7"/>
    <w:rsid w:val="004618F0"/>
    <w:rsid w:val="00463566"/>
    <w:rsid w:val="004644C5"/>
    <w:rsid w:val="00467242"/>
    <w:rsid w:val="00467B2C"/>
    <w:rsid w:val="00472835"/>
    <w:rsid w:val="004728E2"/>
    <w:rsid w:val="00474461"/>
    <w:rsid w:val="00475B2C"/>
    <w:rsid w:val="004768CD"/>
    <w:rsid w:val="00480524"/>
    <w:rsid w:val="00485479"/>
    <w:rsid w:val="00485E89"/>
    <w:rsid w:val="004913DB"/>
    <w:rsid w:val="00491B9C"/>
    <w:rsid w:val="004950A1"/>
    <w:rsid w:val="00495395"/>
    <w:rsid w:val="00495FB3"/>
    <w:rsid w:val="00496F08"/>
    <w:rsid w:val="004A1F38"/>
    <w:rsid w:val="004A3EBF"/>
    <w:rsid w:val="004A5C51"/>
    <w:rsid w:val="004C3914"/>
    <w:rsid w:val="004C6FA3"/>
    <w:rsid w:val="004C73A6"/>
    <w:rsid w:val="004D1104"/>
    <w:rsid w:val="004D60C6"/>
    <w:rsid w:val="004D7618"/>
    <w:rsid w:val="004E0A79"/>
    <w:rsid w:val="004E4E2F"/>
    <w:rsid w:val="004F2265"/>
    <w:rsid w:val="004F54B0"/>
    <w:rsid w:val="00501BD9"/>
    <w:rsid w:val="00502006"/>
    <w:rsid w:val="0050327D"/>
    <w:rsid w:val="0050470E"/>
    <w:rsid w:val="005102E9"/>
    <w:rsid w:val="00511BD9"/>
    <w:rsid w:val="00512DA6"/>
    <w:rsid w:val="005130F2"/>
    <w:rsid w:val="005224AD"/>
    <w:rsid w:val="0052494F"/>
    <w:rsid w:val="005267ED"/>
    <w:rsid w:val="00534D99"/>
    <w:rsid w:val="00535BE7"/>
    <w:rsid w:val="005377A8"/>
    <w:rsid w:val="00543C7B"/>
    <w:rsid w:val="00544738"/>
    <w:rsid w:val="00544960"/>
    <w:rsid w:val="00546427"/>
    <w:rsid w:val="005469F3"/>
    <w:rsid w:val="00546C1D"/>
    <w:rsid w:val="0054713C"/>
    <w:rsid w:val="0055020D"/>
    <w:rsid w:val="0055151E"/>
    <w:rsid w:val="00552647"/>
    <w:rsid w:val="00553F77"/>
    <w:rsid w:val="005541E3"/>
    <w:rsid w:val="00555F8F"/>
    <w:rsid w:val="00561061"/>
    <w:rsid w:val="00563262"/>
    <w:rsid w:val="00563D78"/>
    <w:rsid w:val="00564998"/>
    <w:rsid w:val="00564B36"/>
    <w:rsid w:val="00565753"/>
    <w:rsid w:val="00566766"/>
    <w:rsid w:val="0057069C"/>
    <w:rsid w:val="00571833"/>
    <w:rsid w:val="00574A8F"/>
    <w:rsid w:val="00576CC2"/>
    <w:rsid w:val="00580390"/>
    <w:rsid w:val="00584208"/>
    <w:rsid w:val="00590F7F"/>
    <w:rsid w:val="00591E15"/>
    <w:rsid w:val="00592DDC"/>
    <w:rsid w:val="005953FA"/>
    <w:rsid w:val="005954AA"/>
    <w:rsid w:val="00595D87"/>
    <w:rsid w:val="005979AB"/>
    <w:rsid w:val="005A403C"/>
    <w:rsid w:val="005B489A"/>
    <w:rsid w:val="005B4FD4"/>
    <w:rsid w:val="005C111F"/>
    <w:rsid w:val="005C1A3E"/>
    <w:rsid w:val="005C2E54"/>
    <w:rsid w:val="005C3ED8"/>
    <w:rsid w:val="005C7655"/>
    <w:rsid w:val="005E3649"/>
    <w:rsid w:val="005E4C11"/>
    <w:rsid w:val="005E50CE"/>
    <w:rsid w:val="005E5547"/>
    <w:rsid w:val="005E6A6D"/>
    <w:rsid w:val="005E771E"/>
    <w:rsid w:val="005F3987"/>
    <w:rsid w:val="005F3AC8"/>
    <w:rsid w:val="005F4130"/>
    <w:rsid w:val="005F6AA1"/>
    <w:rsid w:val="005F7583"/>
    <w:rsid w:val="00600288"/>
    <w:rsid w:val="00601C50"/>
    <w:rsid w:val="006038ED"/>
    <w:rsid w:val="00603C76"/>
    <w:rsid w:val="00604A54"/>
    <w:rsid w:val="00605C5F"/>
    <w:rsid w:val="006069A1"/>
    <w:rsid w:val="0061113F"/>
    <w:rsid w:val="006112BB"/>
    <w:rsid w:val="00613FA5"/>
    <w:rsid w:val="00617A8B"/>
    <w:rsid w:val="006210F2"/>
    <w:rsid w:val="00624034"/>
    <w:rsid w:val="006252E4"/>
    <w:rsid w:val="00625A3D"/>
    <w:rsid w:val="006266C6"/>
    <w:rsid w:val="00626EA8"/>
    <w:rsid w:val="00630857"/>
    <w:rsid w:val="0063479E"/>
    <w:rsid w:val="00635012"/>
    <w:rsid w:val="00637B69"/>
    <w:rsid w:val="006467AA"/>
    <w:rsid w:val="00646C70"/>
    <w:rsid w:val="00652E2D"/>
    <w:rsid w:val="00652F7F"/>
    <w:rsid w:val="00653F87"/>
    <w:rsid w:val="00655024"/>
    <w:rsid w:val="00655B6E"/>
    <w:rsid w:val="00664559"/>
    <w:rsid w:val="00666A34"/>
    <w:rsid w:val="006734E1"/>
    <w:rsid w:val="0067378C"/>
    <w:rsid w:val="00673C1F"/>
    <w:rsid w:val="00675FA8"/>
    <w:rsid w:val="00676B13"/>
    <w:rsid w:val="006778C9"/>
    <w:rsid w:val="00681E8E"/>
    <w:rsid w:val="00683702"/>
    <w:rsid w:val="0069329B"/>
    <w:rsid w:val="006A0429"/>
    <w:rsid w:val="006A0CFB"/>
    <w:rsid w:val="006A739D"/>
    <w:rsid w:val="006A7EA8"/>
    <w:rsid w:val="006B33BC"/>
    <w:rsid w:val="006B4152"/>
    <w:rsid w:val="006B6D0A"/>
    <w:rsid w:val="006B71D8"/>
    <w:rsid w:val="006C149D"/>
    <w:rsid w:val="006C1D44"/>
    <w:rsid w:val="006C2E68"/>
    <w:rsid w:val="006C4DCD"/>
    <w:rsid w:val="006C755D"/>
    <w:rsid w:val="006D15C2"/>
    <w:rsid w:val="006D4ACA"/>
    <w:rsid w:val="006D77B1"/>
    <w:rsid w:val="006E0096"/>
    <w:rsid w:val="006E02DF"/>
    <w:rsid w:val="006E6918"/>
    <w:rsid w:val="006E6F91"/>
    <w:rsid w:val="006F1D2A"/>
    <w:rsid w:val="006F1D9B"/>
    <w:rsid w:val="006F1E41"/>
    <w:rsid w:val="006F1F17"/>
    <w:rsid w:val="006F37F6"/>
    <w:rsid w:val="006F3A67"/>
    <w:rsid w:val="006F4501"/>
    <w:rsid w:val="006F475D"/>
    <w:rsid w:val="00700498"/>
    <w:rsid w:val="00701630"/>
    <w:rsid w:val="00703517"/>
    <w:rsid w:val="00704755"/>
    <w:rsid w:val="007076B2"/>
    <w:rsid w:val="00712C5D"/>
    <w:rsid w:val="00714B98"/>
    <w:rsid w:val="00714D4C"/>
    <w:rsid w:val="00716348"/>
    <w:rsid w:val="007237F3"/>
    <w:rsid w:val="00725281"/>
    <w:rsid w:val="007303E9"/>
    <w:rsid w:val="007349AE"/>
    <w:rsid w:val="00734F40"/>
    <w:rsid w:val="00735B5A"/>
    <w:rsid w:val="00737F79"/>
    <w:rsid w:val="00743DCA"/>
    <w:rsid w:val="0074671E"/>
    <w:rsid w:val="007508DF"/>
    <w:rsid w:val="00751699"/>
    <w:rsid w:val="007527E1"/>
    <w:rsid w:val="007546A7"/>
    <w:rsid w:val="00755F46"/>
    <w:rsid w:val="007574AB"/>
    <w:rsid w:val="007645A7"/>
    <w:rsid w:val="0076769F"/>
    <w:rsid w:val="00770B4A"/>
    <w:rsid w:val="00771993"/>
    <w:rsid w:val="00772699"/>
    <w:rsid w:val="00772E3C"/>
    <w:rsid w:val="0077448D"/>
    <w:rsid w:val="00775790"/>
    <w:rsid w:val="00777350"/>
    <w:rsid w:val="00780F05"/>
    <w:rsid w:val="0078151A"/>
    <w:rsid w:val="00786DAB"/>
    <w:rsid w:val="0079327E"/>
    <w:rsid w:val="007A0B23"/>
    <w:rsid w:val="007A1C49"/>
    <w:rsid w:val="007A566B"/>
    <w:rsid w:val="007B2020"/>
    <w:rsid w:val="007B679B"/>
    <w:rsid w:val="007C61CF"/>
    <w:rsid w:val="007C7D4E"/>
    <w:rsid w:val="007D384B"/>
    <w:rsid w:val="007D39DA"/>
    <w:rsid w:val="007D76C9"/>
    <w:rsid w:val="007E47F9"/>
    <w:rsid w:val="007E61FF"/>
    <w:rsid w:val="007F37E4"/>
    <w:rsid w:val="007F3A6D"/>
    <w:rsid w:val="007F5093"/>
    <w:rsid w:val="007F6B54"/>
    <w:rsid w:val="007F7BD8"/>
    <w:rsid w:val="008000FC"/>
    <w:rsid w:val="00802721"/>
    <w:rsid w:val="008078BD"/>
    <w:rsid w:val="00807AA7"/>
    <w:rsid w:val="0081063F"/>
    <w:rsid w:val="00810DC0"/>
    <w:rsid w:val="00812EF2"/>
    <w:rsid w:val="00813559"/>
    <w:rsid w:val="00815CE8"/>
    <w:rsid w:val="008238DB"/>
    <w:rsid w:val="00823AF9"/>
    <w:rsid w:val="00826F16"/>
    <w:rsid w:val="008350A5"/>
    <w:rsid w:val="008466D4"/>
    <w:rsid w:val="00852B4B"/>
    <w:rsid w:val="00861BAA"/>
    <w:rsid w:val="00861E8C"/>
    <w:rsid w:val="00865910"/>
    <w:rsid w:val="00865C05"/>
    <w:rsid w:val="00866C95"/>
    <w:rsid w:val="00873B6F"/>
    <w:rsid w:val="0087465D"/>
    <w:rsid w:val="00874711"/>
    <w:rsid w:val="0088234A"/>
    <w:rsid w:val="008823B5"/>
    <w:rsid w:val="00884336"/>
    <w:rsid w:val="00884871"/>
    <w:rsid w:val="00885C7D"/>
    <w:rsid w:val="0088648B"/>
    <w:rsid w:val="0088669E"/>
    <w:rsid w:val="008868FD"/>
    <w:rsid w:val="008869C7"/>
    <w:rsid w:val="0089074B"/>
    <w:rsid w:val="00891141"/>
    <w:rsid w:val="00895997"/>
    <w:rsid w:val="00895D2C"/>
    <w:rsid w:val="00897F82"/>
    <w:rsid w:val="008A1643"/>
    <w:rsid w:val="008B40E1"/>
    <w:rsid w:val="008B542E"/>
    <w:rsid w:val="008B5C8F"/>
    <w:rsid w:val="008C2A6D"/>
    <w:rsid w:val="008C5BE3"/>
    <w:rsid w:val="008C6475"/>
    <w:rsid w:val="008C6911"/>
    <w:rsid w:val="008D3293"/>
    <w:rsid w:val="008D3D3F"/>
    <w:rsid w:val="008D5E44"/>
    <w:rsid w:val="008D7982"/>
    <w:rsid w:val="008E0E21"/>
    <w:rsid w:val="008E184C"/>
    <w:rsid w:val="008E3781"/>
    <w:rsid w:val="008E4B9C"/>
    <w:rsid w:val="008E4D61"/>
    <w:rsid w:val="008E799C"/>
    <w:rsid w:val="008F040D"/>
    <w:rsid w:val="008F069B"/>
    <w:rsid w:val="008F1EFC"/>
    <w:rsid w:val="008F2A1A"/>
    <w:rsid w:val="008F393E"/>
    <w:rsid w:val="008F409D"/>
    <w:rsid w:val="00900051"/>
    <w:rsid w:val="009013A9"/>
    <w:rsid w:val="00902D8D"/>
    <w:rsid w:val="00910778"/>
    <w:rsid w:val="0091141D"/>
    <w:rsid w:val="00911F2F"/>
    <w:rsid w:val="0091249A"/>
    <w:rsid w:val="009127EB"/>
    <w:rsid w:val="009129DB"/>
    <w:rsid w:val="009149DD"/>
    <w:rsid w:val="00915F26"/>
    <w:rsid w:val="0091707E"/>
    <w:rsid w:val="009171D7"/>
    <w:rsid w:val="009207C7"/>
    <w:rsid w:val="00921417"/>
    <w:rsid w:val="0092178D"/>
    <w:rsid w:val="009239DD"/>
    <w:rsid w:val="00923F3A"/>
    <w:rsid w:val="00930882"/>
    <w:rsid w:val="00930C33"/>
    <w:rsid w:val="009350D2"/>
    <w:rsid w:val="0093637F"/>
    <w:rsid w:val="00940231"/>
    <w:rsid w:val="009440F6"/>
    <w:rsid w:val="00944B75"/>
    <w:rsid w:val="009476E3"/>
    <w:rsid w:val="009566B2"/>
    <w:rsid w:val="0095789D"/>
    <w:rsid w:val="00961A0B"/>
    <w:rsid w:val="009640B0"/>
    <w:rsid w:val="00967AF1"/>
    <w:rsid w:val="00971DB2"/>
    <w:rsid w:val="00974971"/>
    <w:rsid w:val="0097543A"/>
    <w:rsid w:val="0097626F"/>
    <w:rsid w:val="00977860"/>
    <w:rsid w:val="00980A6B"/>
    <w:rsid w:val="00981223"/>
    <w:rsid w:val="00981277"/>
    <w:rsid w:val="00982753"/>
    <w:rsid w:val="00985006"/>
    <w:rsid w:val="009922D4"/>
    <w:rsid w:val="009A4E8C"/>
    <w:rsid w:val="009A515E"/>
    <w:rsid w:val="009A6125"/>
    <w:rsid w:val="009B07A9"/>
    <w:rsid w:val="009B3F26"/>
    <w:rsid w:val="009C375A"/>
    <w:rsid w:val="009C3979"/>
    <w:rsid w:val="009C44B0"/>
    <w:rsid w:val="009D7497"/>
    <w:rsid w:val="009E3F29"/>
    <w:rsid w:val="009E4129"/>
    <w:rsid w:val="009E423C"/>
    <w:rsid w:val="009E613A"/>
    <w:rsid w:val="009F0267"/>
    <w:rsid w:val="009F3B6A"/>
    <w:rsid w:val="009F3E37"/>
    <w:rsid w:val="009F496A"/>
    <w:rsid w:val="009F4DC3"/>
    <w:rsid w:val="009F63FF"/>
    <w:rsid w:val="009F77D2"/>
    <w:rsid w:val="00A0153E"/>
    <w:rsid w:val="00A06C68"/>
    <w:rsid w:val="00A07EFC"/>
    <w:rsid w:val="00A143A9"/>
    <w:rsid w:val="00A1656E"/>
    <w:rsid w:val="00A177F9"/>
    <w:rsid w:val="00A20793"/>
    <w:rsid w:val="00A21AFB"/>
    <w:rsid w:val="00A2419C"/>
    <w:rsid w:val="00A277FC"/>
    <w:rsid w:val="00A31896"/>
    <w:rsid w:val="00A33C0B"/>
    <w:rsid w:val="00A413CF"/>
    <w:rsid w:val="00A42277"/>
    <w:rsid w:val="00A43DFA"/>
    <w:rsid w:val="00A44CFC"/>
    <w:rsid w:val="00A459CF"/>
    <w:rsid w:val="00A46CEE"/>
    <w:rsid w:val="00A517EF"/>
    <w:rsid w:val="00A51C3D"/>
    <w:rsid w:val="00A547DF"/>
    <w:rsid w:val="00A57C29"/>
    <w:rsid w:val="00A6134A"/>
    <w:rsid w:val="00A62438"/>
    <w:rsid w:val="00A63241"/>
    <w:rsid w:val="00A65C72"/>
    <w:rsid w:val="00A6677D"/>
    <w:rsid w:val="00A670BD"/>
    <w:rsid w:val="00A77413"/>
    <w:rsid w:val="00A81429"/>
    <w:rsid w:val="00A82C49"/>
    <w:rsid w:val="00A8542F"/>
    <w:rsid w:val="00A86EDE"/>
    <w:rsid w:val="00A906D2"/>
    <w:rsid w:val="00A92E9D"/>
    <w:rsid w:val="00A938B2"/>
    <w:rsid w:val="00A9784B"/>
    <w:rsid w:val="00AA1C21"/>
    <w:rsid w:val="00AA5711"/>
    <w:rsid w:val="00AA7706"/>
    <w:rsid w:val="00AB28AA"/>
    <w:rsid w:val="00AB5DAA"/>
    <w:rsid w:val="00AC3798"/>
    <w:rsid w:val="00AC61D1"/>
    <w:rsid w:val="00AC6D56"/>
    <w:rsid w:val="00AC7244"/>
    <w:rsid w:val="00AC79AA"/>
    <w:rsid w:val="00AD0831"/>
    <w:rsid w:val="00AD0DB8"/>
    <w:rsid w:val="00AD35E7"/>
    <w:rsid w:val="00AD61E2"/>
    <w:rsid w:val="00AD63B9"/>
    <w:rsid w:val="00AE0739"/>
    <w:rsid w:val="00AE097B"/>
    <w:rsid w:val="00AE2244"/>
    <w:rsid w:val="00AE3233"/>
    <w:rsid w:val="00AE33E7"/>
    <w:rsid w:val="00AE681B"/>
    <w:rsid w:val="00AE7AC1"/>
    <w:rsid w:val="00AF0D87"/>
    <w:rsid w:val="00AF6C25"/>
    <w:rsid w:val="00B002A0"/>
    <w:rsid w:val="00B01CBB"/>
    <w:rsid w:val="00B04A56"/>
    <w:rsid w:val="00B061BF"/>
    <w:rsid w:val="00B10314"/>
    <w:rsid w:val="00B11B38"/>
    <w:rsid w:val="00B125B1"/>
    <w:rsid w:val="00B128E3"/>
    <w:rsid w:val="00B157C8"/>
    <w:rsid w:val="00B157DA"/>
    <w:rsid w:val="00B157E7"/>
    <w:rsid w:val="00B17EB2"/>
    <w:rsid w:val="00B20591"/>
    <w:rsid w:val="00B20AE0"/>
    <w:rsid w:val="00B24473"/>
    <w:rsid w:val="00B27789"/>
    <w:rsid w:val="00B33861"/>
    <w:rsid w:val="00B34366"/>
    <w:rsid w:val="00B440A3"/>
    <w:rsid w:val="00B44DEC"/>
    <w:rsid w:val="00B4546E"/>
    <w:rsid w:val="00B45B45"/>
    <w:rsid w:val="00B45F51"/>
    <w:rsid w:val="00B47B41"/>
    <w:rsid w:val="00B47E52"/>
    <w:rsid w:val="00B52AAE"/>
    <w:rsid w:val="00B531FC"/>
    <w:rsid w:val="00B53A1B"/>
    <w:rsid w:val="00B53C70"/>
    <w:rsid w:val="00B5561F"/>
    <w:rsid w:val="00B601BB"/>
    <w:rsid w:val="00B616E6"/>
    <w:rsid w:val="00B72FBF"/>
    <w:rsid w:val="00B73DE9"/>
    <w:rsid w:val="00B755DD"/>
    <w:rsid w:val="00B76961"/>
    <w:rsid w:val="00B85D46"/>
    <w:rsid w:val="00B87A8D"/>
    <w:rsid w:val="00B96D7E"/>
    <w:rsid w:val="00B97D55"/>
    <w:rsid w:val="00BA23F9"/>
    <w:rsid w:val="00BA3E18"/>
    <w:rsid w:val="00BA487A"/>
    <w:rsid w:val="00BA4D07"/>
    <w:rsid w:val="00BA780A"/>
    <w:rsid w:val="00BB0E0D"/>
    <w:rsid w:val="00BB7D02"/>
    <w:rsid w:val="00BC2FA5"/>
    <w:rsid w:val="00BC5D1A"/>
    <w:rsid w:val="00BC6844"/>
    <w:rsid w:val="00BD2166"/>
    <w:rsid w:val="00BD329C"/>
    <w:rsid w:val="00BD3E00"/>
    <w:rsid w:val="00BD7771"/>
    <w:rsid w:val="00BE1D1B"/>
    <w:rsid w:val="00BE3459"/>
    <w:rsid w:val="00BE4406"/>
    <w:rsid w:val="00BE669F"/>
    <w:rsid w:val="00BF2C26"/>
    <w:rsid w:val="00BF38FA"/>
    <w:rsid w:val="00BF3D00"/>
    <w:rsid w:val="00BF5D4A"/>
    <w:rsid w:val="00C03143"/>
    <w:rsid w:val="00C053A5"/>
    <w:rsid w:val="00C06B2B"/>
    <w:rsid w:val="00C1016B"/>
    <w:rsid w:val="00C22194"/>
    <w:rsid w:val="00C22B2D"/>
    <w:rsid w:val="00C24739"/>
    <w:rsid w:val="00C3228B"/>
    <w:rsid w:val="00C42B75"/>
    <w:rsid w:val="00C453F7"/>
    <w:rsid w:val="00C47CDA"/>
    <w:rsid w:val="00C50234"/>
    <w:rsid w:val="00C50648"/>
    <w:rsid w:val="00C53671"/>
    <w:rsid w:val="00C53826"/>
    <w:rsid w:val="00C53AF2"/>
    <w:rsid w:val="00C540D6"/>
    <w:rsid w:val="00C543A8"/>
    <w:rsid w:val="00C5741E"/>
    <w:rsid w:val="00C616C9"/>
    <w:rsid w:val="00C63C73"/>
    <w:rsid w:val="00C6433F"/>
    <w:rsid w:val="00C65320"/>
    <w:rsid w:val="00C71197"/>
    <w:rsid w:val="00C76C68"/>
    <w:rsid w:val="00C77FC8"/>
    <w:rsid w:val="00C80117"/>
    <w:rsid w:val="00C80D9F"/>
    <w:rsid w:val="00C84DAA"/>
    <w:rsid w:val="00C875E8"/>
    <w:rsid w:val="00C91F30"/>
    <w:rsid w:val="00CA0B4F"/>
    <w:rsid w:val="00CA4763"/>
    <w:rsid w:val="00CA5165"/>
    <w:rsid w:val="00CA57B9"/>
    <w:rsid w:val="00CB0804"/>
    <w:rsid w:val="00CB1C36"/>
    <w:rsid w:val="00CB52BD"/>
    <w:rsid w:val="00CB569B"/>
    <w:rsid w:val="00CB69CC"/>
    <w:rsid w:val="00CC1BAB"/>
    <w:rsid w:val="00CC21C7"/>
    <w:rsid w:val="00CC61E5"/>
    <w:rsid w:val="00CC676B"/>
    <w:rsid w:val="00CD3E7A"/>
    <w:rsid w:val="00CD7BE7"/>
    <w:rsid w:val="00CE7ECF"/>
    <w:rsid w:val="00CF3AC3"/>
    <w:rsid w:val="00CF4B69"/>
    <w:rsid w:val="00CF7607"/>
    <w:rsid w:val="00D02F31"/>
    <w:rsid w:val="00D038CA"/>
    <w:rsid w:val="00D03F55"/>
    <w:rsid w:val="00D06F2C"/>
    <w:rsid w:val="00D10537"/>
    <w:rsid w:val="00D10DC8"/>
    <w:rsid w:val="00D10DD5"/>
    <w:rsid w:val="00D2112C"/>
    <w:rsid w:val="00D22291"/>
    <w:rsid w:val="00D2300F"/>
    <w:rsid w:val="00D23AF0"/>
    <w:rsid w:val="00D23FBA"/>
    <w:rsid w:val="00D24393"/>
    <w:rsid w:val="00D349D5"/>
    <w:rsid w:val="00D34AA2"/>
    <w:rsid w:val="00D36802"/>
    <w:rsid w:val="00D40BED"/>
    <w:rsid w:val="00D428F0"/>
    <w:rsid w:val="00D43B7D"/>
    <w:rsid w:val="00D4490F"/>
    <w:rsid w:val="00D44C9E"/>
    <w:rsid w:val="00D510E3"/>
    <w:rsid w:val="00D5310E"/>
    <w:rsid w:val="00D53E50"/>
    <w:rsid w:val="00D54E8A"/>
    <w:rsid w:val="00D556BF"/>
    <w:rsid w:val="00D5688F"/>
    <w:rsid w:val="00D62C77"/>
    <w:rsid w:val="00D648E0"/>
    <w:rsid w:val="00D65606"/>
    <w:rsid w:val="00D714D0"/>
    <w:rsid w:val="00D803D6"/>
    <w:rsid w:val="00D805CD"/>
    <w:rsid w:val="00D8167E"/>
    <w:rsid w:val="00D81D74"/>
    <w:rsid w:val="00D81F05"/>
    <w:rsid w:val="00D8383F"/>
    <w:rsid w:val="00D8412B"/>
    <w:rsid w:val="00D8477C"/>
    <w:rsid w:val="00D862D6"/>
    <w:rsid w:val="00D866EC"/>
    <w:rsid w:val="00D9707C"/>
    <w:rsid w:val="00D97080"/>
    <w:rsid w:val="00DA0615"/>
    <w:rsid w:val="00DA21FA"/>
    <w:rsid w:val="00DA690C"/>
    <w:rsid w:val="00DA6BAB"/>
    <w:rsid w:val="00DB04B3"/>
    <w:rsid w:val="00DB1CC3"/>
    <w:rsid w:val="00DB1CD0"/>
    <w:rsid w:val="00DB45F1"/>
    <w:rsid w:val="00DB560E"/>
    <w:rsid w:val="00DB6A38"/>
    <w:rsid w:val="00DB6BB9"/>
    <w:rsid w:val="00DB6EB0"/>
    <w:rsid w:val="00DB7483"/>
    <w:rsid w:val="00DC0772"/>
    <w:rsid w:val="00DC2BE9"/>
    <w:rsid w:val="00DC56E4"/>
    <w:rsid w:val="00DC6A69"/>
    <w:rsid w:val="00DC785E"/>
    <w:rsid w:val="00DD1DD6"/>
    <w:rsid w:val="00DD3676"/>
    <w:rsid w:val="00DD3814"/>
    <w:rsid w:val="00DD7698"/>
    <w:rsid w:val="00DE060F"/>
    <w:rsid w:val="00DE5B56"/>
    <w:rsid w:val="00DF075B"/>
    <w:rsid w:val="00DF15D3"/>
    <w:rsid w:val="00DF2EAA"/>
    <w:rsid w:val="00DF3DFE"/>
    <w:rsid w:val="00DF613D"/>
    <w:rsid w:val="00DF72F5"/>
    <w:rsid w:val="00E03DC1"/>
    <w:rsid w:val="00E063FD"/>
    <w:rsid w:val="00E07411"/>
    <w:rsid w:val="00E12715"/>
    <w:rsid w:val="00E12C0A"/>
    <w:rsid w:val="00E14FF2"/>
    <w:rsid w:val="00E159F7"/>
    <w:rsid w:val="00E16DE3"/>
    <w:rsid w:val="00E205C7"/>
    <w:rsid w:val="00E21E37"/>
    <w:rsid w:val="00E22AE2"/>
    <w:rsid w:val="00E24C4C"/>
    <w:rsid w:val="00E24E1E"/>
    <w:rsid w:val="00E27FA0"/>
    <w:rsid w:val="00E3124B"/>
    <w:rsid w:val="00E32BB2"/>
    <w:rsid w:val="00E3309E"/>
    <w:rsid w:val="00E350E3"/>
    <w:rsid w:val="00E36652"/>
    <w:rsid w:val="00E41096"/>
    <w:rsid w:val="00E450BC"/>
    <w:rsid w:val="00E511D2"/>
    <w:rsid w:val="00E52F4D"/>
    <w:rsid w:val="00E530A9"/>
    <w:rsid w:val="00E5347D"/>
    <w:rsid w:val="00E53802"/>
    <w:rsid w:val="00E560F7"/>
    <w:rsid w:val="00E5797D"/>
    <w:rsid w:val="00E57CE5"/>
    <w:rsid w:val="00E6201D"/>
    <w:rsid w:val="00E65A59"/>
    <w:rsid w:val="00E83A4F"/>
    <w:rsid w:val="00E84768"/>
    <w:rsid w:val="00E8501A"/>
    <w:rsid w:val="00E905B0"/>
    <w:rsid w:val="00E91490"/>
    <w:rsid w:val="00E91F58"/>
    <w:rsid w:val="00E96E4C"/>
    <w:rsid w:val="00E974BB"/>
    <w:rsid w:val="00EA3D8A"/>
    <w:rsid w:val="00EA5008"/>
    <w:rsid w:val="00EA5272"/>
    <w:rsid w:val="00EA72BE"/>
    <w:rsid w:val="00EB0369"/>
    <w:rsid w:val="00EB1E1E"/>
    <w:rsid w:val="00EB3776"/>
    <w:rsid w:val="00EB4CE6"/>
    <w:rsid w:val="00EB5295"/>
    <w:rsid w:val="00EB5340"/>
    <w:rsid w:val="00EB64DB"/>
    <w:rsid w:val="00EC34B7"/>
    <w:rsid w:val="00EC46AA"/>
    <w:rsid w:val="00EC5C1B"/>
    <w:rsid w:val="00ED1C2F"/>
    <w:rsid w:val="00ED6003"/>
    <w:rsid w:val="00ED6E9E"/>
    <w:rsid w:val="00EE0026"/>
    <w:rsid w:val="00EE09F5"/>
    <w:rsid w:val="00EE1B79"/>
    <w:rsid w:val="00EE4445"/>
    <w:rsid w:val="00EE5B23"/>
    <w:rsid w:val="00EF090D"/>
    <w:rsid w:val="00EF0AFB"/>
    <w:rsid w:val="00EF212F"/>
    <w:rsid w:val="00EF552F"/>
    <w:rsid w:val="00EF7DCD"/>
    <w:rsid w:val="00EF7FA5"/>
    <w:rsid w:val="00F01161"/>
    <w:rsid w:val="00F03250"/>
    <w:rsid w:val="00F04826"/>
    <w:rsid w:val="00F0692C"/>
    <w:rsid w:val="00F07165"/>
    <w:rsid w:val="00F07783"/>
    <w:rsid w:val="00F1105D"/>
    <w:rsid w:val="00F120D8"/>
    <w:rsid w:val="00F12FC0"/>
    <w:rsid w:val="00F13A5B"/>
    <w:rsid w:val="00F146C0"/>
    <w:rsid w:val="00F1581A"/>
    <w:rsid w:val="00F204A6"/>
    <w:rsid w:val="00F204C0"/>
    <w:rsid w:val="00F21F6F"/>
    <w:rsid w:val="00F22AD8"/>
    <w:rsid w:val="00F22E34"/>
    <w:rsid w:val="00F23191"/>
    <w:rsid w:val="00F273B3"/>
    <w:rsid w:val="00F34C62"/>
    <w:rsid w:val="00F34DA2"/>
    <w:rsid w:val="00F36455"/>
    <w:rsid w:val="00F402D2"/>
    <w:rsid w:val="00F45C52"/>
    <w:rsid w:val="00F45F14"/>
    <w:rsid w:val="00F46E42"/>
    <w:rsid w:val="00F520DF"/>
    <w:rsid w:val="00F54791"/>
    <w:rsid w:val="00F56380"/>
    <w:rsid w:val="00F72D8F"/>
    <w:rsid w:val="00F768FB"/>
    <w:rsid w:val="00F8227F"/>
    <w:rsid w:val="00F82BA4"/>
    <w:rsid w:val="00F84F93"/>
    <w:rsid w:val="00F86B8B"/>
    <w:rsid w:val="00F8715F"/>
    <w:rsid w:val="00F877F8"/>
    <w:rsid w:val="00F87B58"/>
    <w:rsid w:val="00F9198D"/>
    <w:rsid w:val="00FA13CA"/>
    <w:rsid w:val="00FA1495"/>
    <w:rsid w:val="00FA3F4A"/>
    <w:rsid w:val="00FB62AC"/>
    <w:rsid w:val="00FC27BC"/>
    <w:rsid w:val="00FC3068"/>
    <w:rsid w:val="00FC6E9B"/>
    <w:rsid w:val="00FC7BEC"/>
    <w:rsid w:val="00FC7E8D"/>
    <w:rsid w:val="00FD07C9"/>
    <w:rsid w:val="00FD238D"/>
    <w:rsid w:val="00FD562E"/>
    <w:rsid w:val="00FD5B4E"/>
    <w:rsid w:val="00FD73B1"/>
    <w:rsid w:val="00FE1BF0"/>
    <w:rsid w:val="00FE261A"/>
    <w:rsid w:val="00FE428C"/>
    <w:rsid w:val="00FE7438"/>
    <w:rsid w:val="00FE7535"/>
    <w:rsid w:val="00FF0DAC"/>
    <w:rsid w:val="00FF31FB"/>
    <w:rsid w:val="00FF45D6"/>
    <w:rsid w:val="00FF7E7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5:docId w15:val="{C9D1059E-3613-444D-94E1-A1DAA0D7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48"/>
  </w:style>
  <w:style w:type="paragraph" w:styleId="Titre1">
    <w:name w:val="heading 1"/>
    <w:basedOn w:val="Normal"/>
    <w:next w:val="Normal"/>
    <w:link w:val="Titre1Car"/>
    <w:qFormat/>
    <w:rsid w:val="00716348"/>
    <w:pPr>
      <w:keepNext/>
      <w:outlineLvl w:val="0"/>
    </w:pPr>
    <w:rPr>
      <w:i/>
      <w:iCs/>
      <w:sz w:val="24"/>
      <w:szCs w:val="24"/>
    </w:rPr>
  </w:style>
  <w:style w:type="paragraph" w:styleId="Titre2">
    <w:name w:val="heading 2"/>
    <w:basedOn w:val="Normal"/>
    <w:next w:val="Normal"/>
    <w:link w:val="Titre2Car"/>
    <w:unhideWhenUsed/>
    <w:qFormat/>
    <w:rsid w:val="00A07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qFormat/>
    <w:rsid w:val="00810DC0"/>
    <w:pPr>
      <w:keepNext/>
      <w:spacing w:before="240" w:after="60"/>
      <w:outlineLvl w:val="2"/>
    </w:pPr>
    <w:rPr>
      <w:rFonts w:ascii="Arial" w:hAnsi="Arial" w:cs="Arial"/>
      <w:b/>
      <w:bCs/>
      <w:sz w:val="26"/>
      <w:szCs w:val="26"/>
    </w:rPr>
  </w:style>
  <w:style w:type="paragraph" w:styleId="Titre4">
    <w:name w:val="heading 4"/>
    <w:basedOn w:val="Normal"/>
    <w:next w:val="Normal"/>
    <w:qFormat/>
    <w:rsid w:val="00810DC0"/>
    <w:pPr>
      <w:keepNext/>
      <w:spacing w:before="240" w:after="60"/>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
    <w:name w:val="1."/>
    <w:basedOn w:val="Normal"/>
    <w:rsid w:val="0043360D"/>
    <w:pPr>
      <w:keepNext/>
      <w:numPr>
        <w:numId w:val="3"/>
      </w:numPr>
      <w:pBdr>
        <w:top w:val="single" w:sz="4" w:space="1" w:color="auto"/>
        <w:left w:val="single" w:sz="4" w:space="4" w:color="auto"/>
        <w:bottom w:val="single" w:sz="4" w:space="1" w:color="auto"/>
        <w:right w:val="single" w:sz="4" w:space="4" w:color="auto"/>
      </w:pBdr>
      <w:shd w:val="clear" w:color="auto" w:fill="E6E6E6"/>
      <w:spacing w:before="240" w:after="600" w:line="360" w:lineRule="auto"/>
      <w:jc w:val="both"/>
      <w:outlineLvl w:val="0"/>
    </w:pPr>
    <w:rPr>
      <w:rFonts w:ascii="Palatino Linotype" w:hAnsi="Palatino Linotype"/>
      <w:b/>
      <w:bCs/>
      <w:kern w:val="32"/>
      <w:sz w:val="40"/>
      <w:szCs w:val="32"/>
    </w:rPr>
  </w:style>
  <w:style w:type="paragraph" w:customStyle="1" w:styleId="11">
    <w:name w:val="1.1"/>
    <w:basedOn w:val="Normal"/>
    <w:rsid w:val="0043360D"/>
    <w:pPr>
      <w:keepNext/>
      <w:numPr>
        <w:ilvl w:val="1"/>
        <w:numId w:val="3"/>
      </w:numPr>
      <w:tabs>
        <w:tab w:val="left" w:pos="900"/>
      </w:tabs>
      <w:spacing w:before="480" w:after="480"/>
      <w:jc w:val="both"/>
      <w:outlineLvl w:val="1"/>
    </w:pPr>
    <w:rPr>
      <w:rFonts w:ascii="Palatino Linotype" w:hAnsi="Palatino Linotype" w:cs="Arial"/>
      <w:b/>
      <w:bCs/>
      <w:sz w:val="34"/>
      <w:szCs w:val="28"/>
    </w:rPr>
  </w:style>
  <w:style w:type="paragraph" w:customStyle="1" w:styleId="111">
    <w:name w:val="1.1.1"/>
    <w:basedOn w:val="Normal"/>
    <w:autoRedefine/>
    <w:rsid w:val="00FC7E8D"/>
    <w:pPr>
      <w:keepNext/>
      <w:spacing w:before="240" w:after="240" w:line="360" w:lineRule="auto"/>
      <w:outlineLvl w:val="2"/>
    </w:pPr>
    <w:rPr>
      <w:rFonts w:ascii="Palatino Linotype" w:hAnsi="Palatino Linotype" w:cs="Arial"/>
      <w:sz w:val="28"/>
      <w:szCs w:val="26"/>
    </w:rPr>
  </w:style>
  <w:style w:type="paragraph" w:customStyle="1" w:styleId="Carr">
    <w:name w:val="Carré"/>
    <w:basedOn w:val="Normal"/>
    <w:rsid w:val="00703517"/>
    <w:pPr>
      <w:numPr>
        <w:numId w:val="6"/>
      </w:numPr>
      <w:spacing w:before="120" w:after="120" w:line="360" w:lineRule="auto"/>
      <w:jc w:val="both"/>
    </w:pPr>
    <w:rPr>
      <w:rFonts w:ascii="Mangal" w:hAnsi="Mangal" w:cs="Arial"/>
      <w:sz w:val="26"/>
    </w:rPr>
  </w:style>
  <w:style w:type="paragraph" w:customStyle="1" w:styleId="flche">
    <w:name w:val="flèche"/>
    <w:basedOn w:val="Normal"/>
    <w:autoRedefine/>
    <w:rsid w:val="00F01161"/>
    <w:pPr>
      <w:numPr>
        <w:ilvl w:val="1"/>
        <w:numId w:val="1"/>
      </w:numPr>
      <w:tabs>
        <w:tab w:val="clear" w:pos="1440"/>
        <w:tab w:val="num" w:pos="720"/>
      </w:tabs>
      <w:spacing w:before="20" w:after="60" w:line="360" w:lineRule="auto"/>
      <w:ind w:left="720"/>
      <w:jc w:val="both"/>
    </w:pPr>
    <w:rPr>
      <w:rFonts w:ascii="Verdana" w:hAnsi="Verdana" w:cs="Arial"/>
      <w:sz w:val="19"/>
      <w:szCs w:val="19"/>
    </w:rPr>
  </w:style>
  <w:style w:type="paragraph" w:customStyle="1" w:styleId="petiteflche">
    <w:name w:val="petite flèche"/>
    <w:basedOn w:val="flche"/>
    <w:rsid w:val="00211BC4"/>
    <w:pPr>
      <w:numPr>
        <w:ilvl w:val="0"/>
        <w:numId w:val="2"/>
      </w:numPr>
      <w:tabs>
        <w:tab w:val="left" w:pos="1800"/>
      </w:tabs>
      <w:spacing w:before="60"/>
    </w:pPr>
  </w:style>
  <w:style w:type="paragraph" w:customStyle="1" w:styleId="Texte">
    <w:name w:val="Texte"/>
    <w:basedOn w:val="Normal"/>
    <w:rsid w:val="00E530A9"/>
    <w:pPr>
      <w:spacing w:before="60" w:after="60" w:line="360" w:lineRule="auto"/>
      <w:ind w:left="902"/>
      <w:jc w:val="both"/>
    </w:pPr>
    <w:rPr>
      <w:rFonts w:ascii="Mangal" w:hAnsi="Mangal" w:cs="Mangal"/>
    </w:rPr>
  </w:style>
  <w:style w:type="paragraph" w:customStyle="1" w:styleId="petit1">
    <w:name w:val="petit 1"/>
    <w:basedOn w:val="111"/>
    <w:rsid w:val="0043360D"/>
    <w:pPr>
      <w:numPr>
        <w:numId w:val="4"/>
      </w:numPr>
      <w:jc w:val="both"/>
    </w:pPr>
    <w:rPr>
      <w:rFonts w:cs="Times New Roman"/>
      <w:szCs w:val="28"/>
    </w:rPr>
  </w:style>
  <w:style w:type="paragraph" w:customStyle="1" w:styleId="Text">
    <w:name w:val="Text"/>
    <w:basedOn w:val="Texte"/>
    <w:rsid w:val="00E530A9"/>
    <w:pPr>
      <w:ind w:left="900"/>
    </w:pPr>
  </w:style>
  <w:style w:type="paragraph" w:customStyle="1" w:styleId="Text2">
    <w:name w:val="Text2"/>
    <w:basedOn w:val="Normal"/>
    <w:rsid w:val="00472835"/>
    <w:pPr>
      <w:spacing w:line="360" w:lineRule="auto"/>
      <w:jc w:val="both"/>
    </w:pPr>
    <w:rPr>
      <w:rFonts w:ascii="Verdana" w:hAnsi="Verdana"/>
      <w:sz w:val="19"/>
      <w:szCs w:val="19"/>
    </w:rPr>
  </w:style>
  <w:style w:type="paragraph" w:customStyle="1" w:styleId="titre10">
    <w:name w:val="titre1"/>
    <w:basedOn w:val="Normal"/>
    <w:link w:val="titre1Char"/>
    <w:rsid w:val="001E13D0"/>
    <w:rPr>
      <w:rFonts w:ascii="Georgia" w:hAnsi="Georgia"/>
      <w:b/>
      <w:sz w:val="25"/>
      <w:szCs w:val="25"/>
    </w:rPr>
  </w:style>
  <w:style w:type="paragraph" w:customStyle="1" w:styleId="Titre">
    <w:name w:val="Titre*"/>
    <w:basedOn w:val="titre10"/>
    <w:link w:val="TitreChar"/>
    <w:rsid w:val="00734F40"/>
    <w:pPr>
      <w:spacing w:before="240" w:after="240"/>
      <w:jc w:val="both"/>
    </w:pPr>
  </w:style>
  <w:style w:type="paragraph" w:customStyle="1" w:styleId="carr2">
    <w:name w:val="carré2"/>
    <w:basedOn w:val="Carr"/>
    <w:rsid w:val="00A8542F"/>
    <w:pPr>
      <w:spacing w:before="240"/>
    </w:pPr>
    <w:rPr>
      <w:rFonts w:ascii="Verdana" w:hAnsi="Verdana"/>
      <w:color w:val="333333"/>
      <w:sz w:val="19"/>
      <w:szCs w:val="19"/>
    </w:rPr>
  </w:style>
  <w:style w:type="paragraph" w:customStyle="1" w:styleId="1-">
    <w:name w:val="1-"/>
    <w:basedOn w:val="Text2"/>
    <w:rsid w:val="00A8542F"/>
    <w:pPr>
      <w:numPr>
        <w:numId w:val="5"/>
      </w:numPr>
      <w:spacing w:before="300" w:after="180"/>
      <w:ind w:left="357" w:hanging="357"/>
    </w:pPr>
    <w:rPr>
      <w:b/>
      <w:color w:val="333333"/>
    </w:rPr>
  </w:style>
  <w:style w:type="paragraph" w:customStyle="1" w:styleId="text0">
    <w:name w:val="text**"/>
    <w:basedOn w:val="Text2"/>
    <w:rsid w:val="00A8542F"/>
    <w:pPr>
      <w:ind w:left="360"/>
    </w:pPr>
    <w:rPr>
      <w:color w:val="333333"/>
    </w:rPr>
  </w:style>
  <w:style w:type="paragraph" w:customStyle="1" w:styleId="carr3">
    <w:name w:val="carré3"/>
    <w:basedOn w:val="Carr"/>
    <w:rsid w:val="0081063F"/>
    <w:pPr>
      <w:spacing w:before="180" w:after="0"/>
    </w:pPr>
    <w:rPr>
      <w:rFonts w:ascii="Verdana" w:hAnsi="Verdana"/>
      <w:sz w:val="19"/>
      <w:szCs w:val="19"/>
    </w:rPr>
  </w:style>
  <w:style w:type="paragraph" w:customStyle="1" w:styleId="flche2">
    <w:name w:val="flèche2"/>
    <w:basedOn w:val="flche"/>
    <w:rsid w:val="00A8542F"/>
    <w:rPr>
      <w:color w:val="333333"/>
    </w:rPr>
  </w:style>
  <w:style w:type="paragraph" w:customStyle="1" w:styleId="Titre0">
    <w:name w:val="Titre**"/>
    <w:basedOn w:val="Titre"/>
    <w:link w:val="TitreChar0"/>
    <w:rsid w:val="00A8542F"/>
    <w:pPr>
      <w:spacing w:after="360"/>
    </w:pPr>
    <w:rPr>
      <w:color w:val="333333"/>
    </w:rPr>
  </w:style>
  <w:style w:type="paragraph" w:customStyle="1" w:styleId="PetiteFlche0">
    <w:name w:val="Petite Flèche*"/>
    <w:basedOn w:val="petiteflche"/>
    <w:rsid w:val="00A8542F"/>
    <w:pPr>
      <w:tabs>
        <w:tab w:val="clear" w:pos="1800"/>
        <w:tab w:val="clear" w:pos="1980"/>
        <w:tab w:val="num" w:pos="1080"/>
      </w:tabs>
      <w:spacing w:before="0" w:after="0"/>
      <w:ind w:left="1077" w:hanging="357"/>
    </w:pPr>
    <w:rPr>
      <w:color w:val="333333"/>
    </w:rPr>
  </w:style>
  <w:style w:type="paragraph" w:styleId="NormalWeb">
    <w:name w:val="Normal (Web)"/>
    <w:basedOn w:val="Normal"/>
    <w:rsid w:val="00382A60"/>
    <w:pPr>
      <w:spacing w:before="100" w:beforeAutospacing="1" w:after="100" w:afterAutospacing="1"/>
    </w:pPr>
  </w:style>
  <w:style w:type="paragraph" w:customStyle="1" w:styleId="white1">
    <w:name w:val="white1"/>
    <w:basedOn w:val="Normal"/>
    <w:rsid w:val="0069329B"/>
    <w:pPr>
      <w:spacing w:after="45"/>
    </w:pPr>
    <w:rPr>
      <w:color w:val="FFFFFF"/>
      <w:sz w:val="17"/>
      <w:szCs w:val="17"/>
      <w:u w:val="single"/>
    </w:rPr>
  </w:style>
  <w:style w:type="paragraph" w:customStyle="1" w:styleId="left1">
    <w:name w:val="left1"/>
    <w:basedOn w:val="Normal"/>
    <w:rsid w:val="0069329B"/>
    <w:pPr>
      <w:spacing w:after="45"/>
    </w:pPr>
    <w:rPr>
      <w:sz w:val="17"/>
      <w:szCs w:val="17"/>
    </w:rPr>
  </w:style>
  <w:style w:type="paragraph" w:customStyle="1" w:styleId="leftwhite-b1">
    <w:name w:val="leftwhite-b1"/>
    <w:basedOn w:val="Normal"/>
    <w:rsid w:val="0069329B"/>
    <w:pPr>
      <w:spacing w:after="45"/>
    </w:pPr>
    <w:rPr>
      <w:b/>
      <w:bCs/>
      <w:color w:val="FFFFFF"/>
      <w:sz w:val="17"/>
      <w:szCs w:val="17"/>
    </w:rPr>
  </w:style>
  <w:style w:type="character" w:styleId="Lienhypertexte">
    <w:name w:val="Hyperlink"/>
    <w:rsid w:val="00A9784B"/>
    <w:rPr>
      <w:color w:val="0000FF"/>
      <w:u w:val="single"/>
    </w:rPr>
  </w:style>
  <w:style w:type="paragraph" w:customStyle="1" w:styleId="FlecheBilan">
    <w:name w:val="FlecheBilan"/>
    <w:basedOn w:val="flche2"/>
    <w:rsid w:val="00A8542F"/>
    <w:pPr>
      <w:numPr>
        <w:numId w:val="7"/>
      </w:numPr>
      <w:tabs>
        <w:tab w:val="clear" w:pos="1440"/>
        <w:tab w:val="num" w:pos="720"/>
      </w:tabs>
      <w:ind w:left="720"/>
    </w:pPr>
  </w:style>
  <w:style w:type="character" w:styleId="Accentuation">
    <w:name w:val="Emphasis"/>
    <w:qFormat/>
    <w:rsid w:val="005541E3"/>
    <w:rPr>
      <w:i/>
      <w:iCs/>
    </w:rPr>
  </w:style>
  <w:style w:type="paragraph" w:customStyle="1" w:styleId="Styleflche2Gris-80">
    <w:name w:val="Style flèche2 + Gris - 80 %"/>
    <w:basedOn w:val="flche2"/>
    <w:rsid w:val="00AE7AC1"/>
  </w:style>
  <w:style w:type="paragraph" w:customStyle="1" w:styleId="StylePetiteFlcheGris-80">
    <w:name w:val="Style Petite Flèche* + Gris - 80 %"/>
    <w:basedOn w:val="PetiteFlche0"/>
    <w:rsid w:val="00AE7AC1"/>
  </w:style>
  <w:style w:type="paragraph" w:customStyle="1" w:styleId="Stylecarr2Gris-80">
    <w:name w:val="Style carré2 + Gris - 80 %"/>
    <w:basedOn w:val="carr2"/>
    <w:rsid w:val="00AE7AC1"/>
  </w:style>
  <w:style w:type="paragraph" w:customStyle="1" w:styleId="StyleTitre145ptGris-80CentrEncadrementSimple">
    <w:name w:val="Style Titre** + 145 pt Gris - 80 % Centré Encadrement : (Simple..."/>
    <w:basedOn w:val="Titre0"/>
    <w:rsid w:val="00AE7AC1"/>
    <w:pPr>
      <w:pBdr>
        <w:top w:val="single" w:sz="4" w:space="1" w:color="auto"/>
        <w:left w:val="single" w:sz="4" w:space="4" w:color="auto"/>
        <w:bottom w:val="single" w:sz="4" w:space="1" w:color="auto"/>
        <w:right w:val="single" w:sz="4" w:space="4" w:color="auto"/>
      </w:pBdr>
      <w:jc w:val="center"/>
    </w:pPr>
    <w:rPr>
      <w:bCs/>
      <w:sz w:val="29"/>
      <w:szCs w:val="20"/>
    </w:rPr>
  </w:style>
  <w:style w:type="paragraph" w:styleId="Notedebasdepage">
    <w:name w:val="footnote text"/>
    <w:basedOn w:val="Normal"/>
    <w:semiHidden/>
    <w:rsid w:val="00F22AD8"/>
  </w:style>
  <w:style w:type="character" w:styleId="Appelnotedebasdep">
    <w:name w:val="footnote reference"/>
    <w:semiHidden/>
    <w:rsid w:val="00F22AD8"/>
    <w:rPr>
      <w:vertAlign w:val="superscript"/>
    </w:rPr>
  </w:style>
  <w:style w:type="character" w:customStyle="1" w:styleId="titre1Char">
    <w:name w:val="titre1 Char"/>
    <w:link w:val="titre10"/>
    <w:rsid w:val="00F86B8B"/>
    <w:rPr>
      <w:rFonts w:ascii="Georgia" w:hAnsi="Georgia"/>
      <w:b/>
      <w:sz w:val="25"/>
      <w:szCs w:val="25"/>
      <w:lang w:val="fr-FR" w:eastAsia="fr-FR" w:bidi="ar-SA"/>
    </w:rPr>
  </w:style>
  <w:style w:type="character" w:customStyle="1" w:styleId="TitreChar">
    <w:name w:val="Titre* Char"/>
    <w:basedOn w:val="titre1Char"/>
    <w:link w:val="Titre"/>
    <w:rsid w:val="00F86B8B"/>
    <w:rPr>
      <w:rFonts w:ascii="Georgia" w:hAnsi="Georgia"/>
      <w:b/>
      <w:sz w:val="25"/>
      <w:szCs w:val="25"/>
      <w:lang w:val="fr-FR" w:eastAsia="fr-FR" w:bidi="ar-SA"/>
    </w:rPr>
  </w:style>
  <w:style w:type="character" w:customStyle="1" w:styleId="TitreChar0">
    <w:name w:val="Titre** Char"/>
    <w:link w:val="Titre0"/>
    <w:rsid w:val="00F86B8B"/>
    <w:rPr>
      <w:rFonts w:ascii="Georgia" w:hAnsi="Georgia"/>
      <w:b/>
      <w:color w:val="333333"/>
      <w:sz w:val="25"/>
      <w:szCs w:val="25"/>
      <w:lang w:val="fr-FR" w:eastAsia="fr-FR" w:bidi="ar-SA"/>
    </w:rPr>
  </w:style>
  <w:style w:type="paragraph" w:customStyle="1" w:styleId="h1">
    <w:name w:val="h1"/>
    <w:basedOn w:val="Normal"/>
    <w:rsid w:val="00DF2EAA"/>
    <w:pPr>
      <w:spacing w:before="204" w:after="68"/>
    </w:pPr>
    <w:rPr>
      <w:b/>
      <w:bCs/>
      <w:color w:val="003366"/>
      <w:sz w:val="38"/>
      <w:szCs w:val="38"/>
    </w:rPr>
  </w:style>
  <w:style w:type="paragraph" w:customStyle="1" w:styleId="author">
    <w:name w:val="author"/>
    <w:basedOn w:val="Normal"/>
    <w:rsid w:val="00DF2EAA"/>
    <w:pPr>
      <w:spacing w:before="100" w:beforeAutospacing="1" w:after="100" w:afterAutospacing="1"/>
    </w:pPr>
    <w:rPr>
      <w:rFonts w:ascii="Arial" w:hAnsi="Arial" w:cs="Arial"/>
      <w:b/>
      <w:bCs/>
      <w:color w:val="000000"/>
    </w:rPr>
  </w:style>
  <w:style w:type="character" w:styleId="Lienhypertextesuivivisit">
    <w:name w:val="FollowedHyperlink"/>
    <w:rsid w:val="002A3B62"/>
    <w:rPr>
      <w:color w:val="800080"/>
      <w:u w:val="single"/>
    </w:rPr>
  </w:style>
  <w:style w:type="character" w:customStyle="1" w:styleId="textebleu1">
    <w:name w:val="textebleu1"/>
    <w:rsid w:val="009127EB"/>
    <w:rPr>
      <w:rFonts w:ascii="Times New Roman" w:hAnsi="Times New Roman" w:cs="Times New Roman" w:hint="default"/>
      <w:b/>
      <w:bCs/>
      <w:color w:val="014E86"/>
      <w:sz w:val="21"/>
      <w:szCs w:val="21"/>
    </w:rPr>
  </w:style>
  <w:style w:type="character" w:customStyle="1" w:styleId="textegris1">
    <w:name w:val="textegris1"/>
    <w:rsid w:val="009127EB"/>
    <w:rPr>
      <w:rFonts w:ascii="Times New Roman" w:hAnsi="Times New Roman" w:cs="Times New Roman" w:hint="default"/>
      <w:color w:val="666666"/>
      <w:sz w:val="21"/>
      <w:szCs w:val="21"/>
    </w:rPr>
  </w:style>
  <w:style w:type="character" w:customStyle="1" w:styleId="EmailStyle551">
    <w:name w:val="EmailStyle551"/>
    <w:semiHidden/>
    <w:rsid w:val="00BD329C"/>
    <w:rPr>
      <w:rFonts w:ascii="Arial" w:hAnsi="Arial" w:cs="Arial"/>
      <w:color w:val="auto"/>
      <w:sz w:val="20"/>
      <w:szCs w:val="20"/>
    </w:rPr>
  </w:style>
  <w:style w:type="paragraph" w:styleId="En-tte">
    <w:name w:val="header"/>
    <w:basedOn w:val="Normal"/>
    <w:rsid w:val="007A1C49"/>
    <w:pPr>
      <w:tabs>
        <w:tab w:val="center" w:pos="4536"/>
        <w:tab w:val="right" w:pos="9072"/>
      </w:tabs>
    </w:pPr>
  </w:style>
  <w:style w:type="paragraph" w:styleId="Pieddepage">
    <w:name w:val="footer"/>
    <w:basedOn w:val="Normal"/>
    <w:link w:val="PieddepageCar"/>
    <w:uiPriority w:val="99"/>
    <w:rsid w:val="007A1C49"/>
    <w:pPr>
      <w:tabs>
        <w:tab w:val="center" w:pos="4536"/>
        <w:tab w:val="right" w:pos="9072"/>
      </w:tabs>
    </w:pPr>
  </w:style>
  <w:style w:type="paragraph" w:styleId="Textedebulles">
    <w:name w:val="Balloon Text"/>
    <w:basedOn w:val="Normal"/>
    <w:semiHidden/>
    <w:rsid w:val="00DA6BAB"/>
    <w:rPr>
      <w:rFonts w:ascii="Tahoma" w:hAnsi="Tahoma" w:cs="Tahoma"/>
      <w:sz w:val="16"/>
      <w:szCs w:val="16"/>
    </w:rPr>
  </w:style>
  <w:style w:type="paragraph" w:styleId="Corpsdetexte">
    <w:name w:val="Body Text"/>
    <w:basedOn w:val="Normal"/>
    <w:rsid w:val="00810DC0"/>
    <w:pPr>
      <w:jc w:val="both"/>
    </w:pPr>
    <w:rPr>
      <w:rFonts w:ascii="Arial" w:hAnsi="Arial"/>
      <w:sz w:val="22"/>
      <w:lang w:val="en-GB"/>
    </w:rPr>
  </w:style>
  <w:style w:type="paragraph" w:customStyle="1" w:styleId="CharCar">
    <w:name w:val="Char Car"/>
    <w:basedOn w:val="Normal"/>
    <w:rsid w:val="00700498"/>
    <w:pPr>
      <w:spacing w:before="120" w:after="160" w:line="240" w:lineRule="exact"/>
      <w:ind w:left="85"/>
      <w:jc w:val="both"/>
    </w:pPr>
    <w:rPr>
      <w:rFonts w:ascii="Verdana" w:hAnsi="Verdana"/>
      <w:sz w:val="24"/>
      <w:szCs w:val="24"/>
      <w:lang w:eastAsia="en-US"/>
    </w:rPr>
  </w:style>
  <w:style w:type="paragraph" w:styleId="Paragraphedeliste">
    <w:name w:val="List Paragraph"/>
    <w:basedOn w:val="Normal"/>
    <w:uiPriority w:val="34"/>
    <w:qFormat/>
    <w:rsid w:val="00B11B38"/>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Titre2Car">
    <w:name w:val="Titre 2 Car"/>
    <w:basedOn w:val="Policepardfaut"/>
    <w:link w:val="Titre2"/>
    <w:rsid w:val="00A07EFC"/>
    <w:rPr>
      <w:rFonts w:asciiTheme="majorHAnsi" w:eastAsiaTheme="majorEastAsia" w:hAnsiTheme="majorHAnsi" w:cstheme="majorBidi"/>
      <w:b/>
      <w:bCs/>
      <w:color w:val="4F81BD" w:themeColor="accent1"/>
      <w:sz w:val="26"/>
      <w:szCs w:val="26"/>
    </w:rPr>
  </w:style>
  <w:style w:type="paragraph" w:styleId="Notedefin">
    <w:name w:val="endnote text"/>
    <w:basedOn w:val="Normal"/>
    <w:link w:val="NotedefinCar"/>
    <w:rsid w:val="00A07EFC"/>
    <w:pPr>
      <w:widowControl w:val="0"/>
      <w:jc w:val="both"/>
    </w:pPr>
    <w:rPr>
      <w:snapToGrid w:val="0"/>
      <w:sz w:val="24"/>
    </w:rPr>
  </w:style>
  <w:style w:type="character" w:customStyle="1" w:styleId="NotedefinCar">
    <w:name w:val="Note de fin Car"/>
    <w:basedOn w:val="Policepardfaut"/>
    <w:link w:val="Notedefin"/>
    <w:rsid w:val="00A07EFC"/>
    <w:rPr>
      <w:snapToGrid w:val="0"/>
      <w:sz w:val="24"/>
    </w:rPr>
  </w:style>
  <w:style w:type="paragraph" w:styleId="Lgende">
    <w:name w:val="caption"/>
    <w:basedOn w:val="Normal"/>
    <w:next w:val="Normal"/>
    <w:qFormat/>
    <w:rsid w:val="00A07EFC"/>
    <w:pPr>
      <w:widowControl w:val="0"/>
      <w:jc w:val="both"/>
    </w:pPr>
    <w:rPr>
      <w:snapToGrid w:val="0"/>
      <w:sz w:val="24"/>
    </w:rPr>
  </w:style>
  <w:style w:type="character" w:customStyle="1" w:styleId="PieddepageCar">
    <w:name w:val="Pied de page Car"/>
    <w:basedOn w:val="Policepardfaut"/>
    <w:link w:val="Pieddepage"/>
    <w:uiPriority w:val="99"/>
    <w:rsid w:val="00DB04B3"/>
  </w:style>
  <w:style w:type="paragraph" w:customStyle="1" w:styleId="Default">
    <w:name w:val="Default"/>
    <w:rsid w:val="00AE33E7"/>
    <w:pPr>
      <w:autoSpaceDE w:val="0"/>
      <w:autoSpaceDN w:val="0"/>
      <w:adjustRightInd w:val="0"/>
    </w:pPr>
    <w:rPr>
      <w:rFonts w:ascii="Calibri" w:eastAsiaTheme="minorEastAsia" w:hAnsi="Calibri" w:cs="Calibri"/>
      <w:color w:val="000000"/>
      <w:sz w:val="24"/>
      <w:szCs w:val="24"/>
    </w:rPr>
  </w:style>
  <w:style w:type="paragraph" w:customStyle="1" w:styleId="Normaltableau">
    <w:name w:val="Normal tableau"/>
    <w:basedOn w:val="Normal"/>
    <w:rsid w:val="00865C05"/>
    <w:pPr>
      <w:jc w:val="both"/>
    </w:pPr>
    <w:rPr>
      <w:rFonts w:eastAsia="MS Mincho"/>
      <w:sz w:val="22"/>
      <w:szCs w:val="22"/>
    </w:rPr>
  </w:style>
  <w:style w:type="paragraph" w:customStyle="1" w:styleId="Libell">
    <w:name w:val="Libellé"/>
    <w:basedOn w:val="Normal"/>
    <w:rsid w:val="00865C05"/>
    <w:pPr>
      <w:spacing w:before="60" w:after="60"/>
    </w:pPr>
    <w:rPr>
      <w:rFonts w:ascii="Arial" w:eastAsia="MS Mincho" w:hAnsi="Arial"/>
      <w:sz w:val="16"/>
      <w:szCs w:val="16"/>
    </w:rPr>
  </w:style>
  <w:style w:type="paragraph" w:styleId="Rvision">
    <w:name w:val="Revision"/>
    <w:hidden/>
    <w:uiPriority w:val="99"/>
    <w:semiHidden/>
    <w:rsid w:val="00E41096"/>
  </w:style>
  <w:style w:type="character" w:styleId="lev">
    <w:name w:val="Strong"/>
    <w:basedOn w:val="Policepardfaut"/>
    <w:qFormat/>
    <w:rsid w:val="00F9198D"/>
    <w:rPr>
      <w:b/>
      <w:bCs/>
    </w:rPr>
  </w:style>
  <w:style w:type="table" w:styleId="Grilledutableau">
    <w:name w:val="Table Grid"/>
    <w:basedOn w:val="TableauNormal"/>
    <w:rsid w:val="0060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AD0DB8"/>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39397">
      <w:bodyDiv w:val="1"/>
      <w:marLeft w:val="0"/>
      <w:marRight w:val="0"/>
      <w:marTop w:val="0"/>
      <w:marBottom w:val="0"/>
      <w:divBdr>
        <w:top w:val="none" w:sz="0" w:space="0" w:color="auto"/>
        <w:left w:val="none" w:sz="0" w:space="0" w:color="auto"/>
        <w:bottom w:val="none" w:sz="0" w:space="0" w:color="auto"/>
        <w:right w:val="none" w:sz="0" w:space="0" w:color="auto"/>
      </w:divBdr>
      <w:divsChild>
        <w:div w:id="1889679868">
          <w:marLeft w:val="0"/>
          <w:marRight w:val="0"/>
          <w:marTop w:val="0"/>
          <w:marBottom w:val="0"/>
          <w:divBdr>
            <w:top w:val="none" w:sz="0" w:space="0" w:color="auto"/>
            <w:left w:val="none" w:sz="0" w:space="0" w:color="auto"/>
            <w:bottom w:val="none" w:sz="0" w:space="0" w:color="auto"/>
            <w:right w:val="none" w:sz="0" w:space="0" w:color="auto"/>
          </w:divBdr>
        </w:div>
      </w:divsChild>
    </w:div>
    <w:div w:id="351997953">
      <w:bodyDiv w:val="1"/>
      <w:marLeft w:val="0"/>
      <w:marRight w:val="0"/>
      <w:marTop w:val="0"/>
      <w:marBottom w:val="0"/>
      <w:divBdr>
        <w:top w:val="none" w:sz="0" w:space="0" w:color="auto"/>
        <w:left w:val="none" w:sz="0" w:space="0" w:color="auto"/>
        <w:bottom w:val="none" w:sz="0" w:space="0" w:color="auto"/>
        <w:right w:val="none" w:sz="0" w:space="0" w:color="auto"/>
      </w:divBdr>
    </w:div>
    <w:div w:id="703016234">
      <w:bodyDiv w:val="1"/>
      <w:marLeft w:val="0"/>
      <w:marRight w:val="0"/>
      <w:marTop w:val="0"/>
      <w:marBottom w:val="0"/>
      <w:divBdr>
        <w:top w:val="none" w:sz="0" w:space="0" w:color="auto"/>
        <w:left w:val="none" w:sz="0" w:space="0" w:color="auto"/>
        <w:bottom w:val="none" w:sz="0" w:space="0" w:color="auto"/>
        <w:right w:val="none" w:sz="0" w:space="0" w:color="auto"/>
      </w:divBdr>
      <w:divsChild>
        <w:div w:id="1006902973">
          <w:marLeft w:val="274"/>
          <w:marRight w:val="0"/>
          <w:marTop w:val="0"/>
          <w:marBottom w:val="0"/>
          <w:divBdr>
            <w:top w:val="none" w:sz="0" w:space="0" w:color="auto"/>
            <w:left w:val="none" w:sz="0" w:space="0" w:color="auto"/>
            <w:bottom w:val="none" w:sz="0" w:space="0" w:color="auto"/>
            <w:right w:val="none" w:sz="0" w:space="0" w:color="auto"/>
          </w:divBdr>
        </w:div>
        <w:div w:id="1082219933">
          <w:marLeft w:val="274"/>
          <w:marRight w:val="0"/>
          <w:marTop w:val="0"/>
          <w:marBottom w:val="0"/>
          <w:divBdr>
            <w:top w:val="none" w:sz="0" w:space="0" w:color="auto"/>
            <w:left w:val="none" w:sz="0" w:space="0" w:color="auto"/>
            <w:bottom w:val="none" w:sz="0" w:space="0" w:color="auto"/>
            <w:right w:val="none" w:sz="0" w:space="0" w:color="auto"/>
          </w:divBdr>
        </w:div>
        <w:div w:id="2043555743">
          <w:marLeft w:val="274"/>
          <w:marRight w:val="0"/>
          <w:marTop w:val="0"/>
          <w:marBottom w:val="0"/>
          <w:divBdr>
            <w:top w:val="none" w:sz="0" w:space="0" w:color="auto"/>
            <w:left w:val="none" w:sz="0" w:space="0" w:color="auto"/>
            <w:bottom w:val="none" w:sz="0" w:space="0" w:color="auto"/>
            <w:right w:val="none" w:sz="0" w:space="0" w:color="auto"/>
          </w:divBdr>
        </w:div>
        <w:div w:id="573509424">
          <w:marLeft w:val="274"/>
          <w:marRight w:val="0"/>
          <w:marTop w:val="0"/>
          <w:marBottom w:val="0"/>
          <w:divBdr>
            <w:top w:val="none" w:sz="0" w:space="0" w:color="auto"/>
            <w:left w:val="none" w:sz="0" w:space="0" w:color="auto"/>
            <w:bottom w:val="none" w:sz="0" w:space="0" w:color="auto"/>
            <w:right w:val="none" w:sz="0" w:space="0" w:color="auto"/>
          </w:divBdr>
        </w:div>
      </w:divsChild>
    </w:div>
    <w:div w:id="796073107">
      <w:bodyDiv w:val="1"/>
      <w:marLeft w:val="0"/>
      <w:marRight w:val="0"/>
      <w:marTop w:val="0"/>
      <w:marBottom w:val="0"/>
      <w:divBdr>
        <w:top w:val="none" w:sz="0" w:space="0" w:color="auto"/>
        <w:left w:val="none" w:sz="0" w:space="0" w:color="auto"/>
        <w:bottom w:val="none" w:sz="0" w:space="0" w:color="auto"/>
        <w:right w:val="none" w:sz="0" w:space="0" w:color="auto"/>
      </w:divBdr>
      <w:divsChild>
        <w:div w:id="1723289844">
          <w:marLeft w:val="0"/>
          <w:marRight w:val="0"/>
          <w:marTop w:val="0"/>
          <w:marBottom w:val="0"/>
          <w:divBdr>
            <w:top w:val="none" w:sz="0" w:space="0" w:color="auto"/>
            <w:left w:val="none" w:sz="0" w:space="0" w:color="auto"/>
            <w:bottom w:val="none" w:sz="0" w:space="0" w:color="auto"/>
            <w:right w:val="none" w:sz="0" w:space="0" w:color="auto"/>
          </w:divBdr>
        </w:div>
      </w:divsChild>
    </w:div>
    <w:div w:id="839468725">
      <w:bodyDiv w:val="1"/>
      <w:marLeft w:val="0"/>
      <w:marRight w:val="0"/>
      <w:marTop w:val="0"/>
      <w:marBottom w:val="0"/>
      <w:divBdr>
        <w:top w:val="none" w:sz="0" w:space="0" w:color="auto"/>
        <w:left w:val="none" w:sz="0" w:space="0" w:color="auto"/>
        <w:bottom w:val="none" w:sz="0" w:space="0" w:color="auto"/>
        <w:right w:val="none" w:sz="0" w:space="0" w:color="auto"/>
      </w:divBdr>
    </w:div>
    <w:div w:id="903642752">
      <w:bodyDiv w:val="1"/>
      <w:marLeft w:val="0"/>
      <w:marRight w:val="0"/>
      <w:marTop w:val="0"/>
      <w:marBottom w:val="0"/>
      <w:divBdr>
        <w:top w:val="none" w:sz="0" w:space="0" w:color="auto"/>
        <w:left w:val="none" w:sz="0" w:space="0" w:color="auto"/>
        <w:bottom w:val="none" w:sz="0" w:space="0" w:color="auto"/>
        <w:right w:val="none" w:sz="0" w:space="0" w:color="auto"/>
      </w:divBdr>
    </w:div>
    <w:div w:id="1047292546">
      <w:bodyDiv w:val="1"/>
      <w:marLeft w:val="0"/>
      <w:marRight w:val="0"/>
      <w:marTop w:val="0"/>
      <w:marBottom w:val="0"/>
      <w:divBdr>
        <w:top w:val="none" w:sz="0" w:space="0" w:color="auto"/>
        <w:left w:val="none" w:sz="0" w:space="0" w:color="auto"/>
        <w:bottom w:val="none" w:sz="0" w:space="0" w:color="auto"/>
        <w:right w:val="none" w:sz="0" w:space="0" w:color="auto"/>
      </w:divBdr>
    </w:div>
    <w:div w:id="1218081535">
      <w:bodyDiv w:val="1"/>
      <w:marLeft w:val="0"/>
      <w:marRight w:val="0"/>
      <w:marTop w:val="0"/>
      <w:marBottom w:val="0"/>
      <w:divBdr>
        <w:top w:val="none" w:sz="0" w:space="0" w:color="auto"/>
        <w:left w:val="none" w:sz="0" w:space="0" w:color="auto"/>
        <w:bottom w:val="none" w:sz="0" w:space="0" w:color="auto"/>
        <w:right w:val="none" w:sz="0" w:space="0" w:color="auto"/>
      </w:divBdr>
      <w:divsChild>
        <w:div w:id="310867381">
          <w:marLeft w:val="0"/>
          <w:marRight w:val="0"/>
          <w:marTop w:val="0"/>
          <w:marBottom w:val="0"/>
          <w:divBdr>
            <w:top w:val="none" w:sz="0" w:space="0" w:color="auto"/>
            <w:left w:val="none" w:sz="0" w:space="0" w:color="auto"/>
            <w:bottom w:val="none" w:sz="0" w:space="0" w:color="auto"/>
            <w:right w:val="none" w:sz="0" w:space="0" w:color="auto"/>
          </w:divBdr>
        </w:div>
      </w:divsChild>
    </w:div>
    <w:div w:id="1388335782">
      <w:bodyDiv w:val="1"/>
      <w:marLeft w:val="0"/>
      <w:marRight w:val="0"/>
      <w:marTop w:val="0"/>
      <w:marBottom w:val="0"/>
      <w:divBdr>
        <w:top w:val="none" w:sz="0" w:space="0" w:color="auto"/>
        <w:left w:val="none" w:sz="0" w:space="0" w:color="auto"/>
        <w:bottom w:val="none" w:sz="0" w:space="0" w:color="auto"/>
        <w:right w:val="none" w:sz="0" w:space="0" w:color="auto"/>
      </w:divBdr>
    </w:div>
    <w:div w:id="1418016108">
      <w:bodyDiv w:val="1"/>
      <w:marLeft w:val="0"/>
      <w:marRight w:val="0"/>
      <w:marTop w:val="0"/>
      <w:marBottom w:val="0"/>
      <w:divBdr>
        <w:top w:val="none" w:sz="0" w:space="0" w:color="auto"/>
        <w:left w:val="none" w:sz="0" w:space="0" w:color="auto"/>
        <w:bottom w:val="none" w:sz="0" w:space="0" w:color="auto"/>
        <w:right w:val="none" w:sz="0" w:space="0" w:color="auto"/>
      </w:divBdr>
    </w:div>
    <w:div w:id="1427190457">
      <w:bodyDiv w:val="1"/>
      <w:marLeft w:val="0"/>
      <w:marRight w:val="0"/>
      <w:marTop w:val="0"/>
      <w:marBottom w:val="0"/>
      <w:divBdr>
        <w:top w:val="none" w:sz="0" w:space="0" w:color="auto"/>
        <w:left w:val="none" w:sz="0" w:space="0" w:color="auto"/>
        <w:bottom w:val="none" w:sz="0" w:space="0" w:color="auto"/>
        <w:right w:val="none" w:sz="0" w:space="0" w:color="auto"/>
      </w:divBdr>
    </w:div>
    <w:div w:id="1459758169">
      <w:bodyDiv w:val="1"/>
      <w:marLeft w:val="0"/>
      <w:marRight w:val="0"/>
      <w:marTop w:val="0"/>
      <w:marBottom w:val="0"/>
      <w:divBdr>
        <w:top w:val="none" w:sz="0" w:space="0" w:color="auto"/>
        <w:left w:val="none" w:sz="0" w:space="0" w:color="auto"/>
        <w:bottom w:val="none" w:sz="0" w:space="0" w:color="auto"/>
        <w:right w:val="none" w:sz="0" w:space="0" w:color="auto"/>
      </w:divBdr>
      <w:divsChild>
        <w:div w:id="1868640568">
          <w:marLeft w:val="0"/>
          <w:marRight w:val="0"/>
          <w:marTop w:val="1755"/>
          <w:marBottom w:val="150"/>
          <w:divBdr>
            <w:top w:val="single" w:sz="6" w:space="0" w:color="FF0000"/>
            <w:left w:val="single" w:sz="6" w:space="0" w:color="FF0000"/>
            <w:bottom w:val="single" w:sz="6" w:space="0" w:color="FF0000"/>
            <w:right w:val="single" w:sz="6" w:space="0" w:color="FF0000"/>
          </w:divBdr>
        </w:div>
      </w:divsChild>
    </w:div>
    <w:div w:id="1488279548">
      <w:bodyDiv w:val="1"/>
      <w:marLeft w:val="0"/>
      <w:marRight w:val="0"/>
      <w:marTop w:val="30"/>
      <w:marBottom w:val="0"/>
      <w:divBdr>
        <w:top w:val="none" w:sz="0" w:space="0" w:color="auto"/>
        <w:left w:val="none" w:sz="0" w:space="0" w:color="auto"/>
        <w:bottom w:val="none" w:sz="0" w:space="0" w:color="auto"/>
        <w:right w:val="none" w:sz="0" w:space="0" w:color="auto"/>
      </w:divBdr>
      <w:divsChild>
        <w:div w:id="419528582">
          <w:marLeft w:val="0"/>
          <w:marRight w:val="0"/>
          <w:marTop w:val="0"/>
          <w:marBottom w:val="0"/>
          <w:divBdr>
            <w:top w:val="none" w:sz="0" w:space="0" w:color="auto"/>
            <w:left w:val="none" w:sz="0" w:space="0" w:color="auto"/>
            <w:bottom w:val="none" w:sz="0" w:space="0" w:color="auto"/>
            <w:right w:val="none" w:sz="0" w:space="0" w:color="auto"/>
          </w:divBdr>
        </w:div>
      </w:divsChild>
    </w:div>
    <w:div w:id="1526868205">
      <w:bodyDiv w:val="1"/>
      <w:marLeft w:val="0"/>
      <w:marRight w:val="0"/>
      <w:marTop w:val="0"/>
      <w:marBottom w:val="0"/>
      <w:divBdr>
        <w:top w:val="none" w:sz="0" w:space="0" w:color="auto"/>
        <w:left w:val="none" w:sz="0" w:space="0" w:color="auto"/>
        <w:bottom w:val="none" w:sz="0" w:space="0" w:color="auto"/>
        <w:right w:val="none" w:sz="0" w:space="0" w:color="auto"/>
      </w:divBdr>
    </w:div>
    <w:div w:id="2128162611">
      <w:bodyDiv w:val="1"/>
      <w:marLeft w:val="0"/>
      <w:marRight w:val="0"/>
      <w:marTop w:val="0"/>
      <w:marBottom w:val="0"/>
      <w:divBdr>
        <w:top w:val="none" w:sz="0" w:space="0" w:color="auto"/>
        <w:left w:val="none" w:sz="0" w:space="0" w:color="auto"/>
        <w:bottom w:val="none" w:sz="0" w:space="0" w:color="auto"/>
        <w:right w:val="none" w:sz="0" w:space="0" w:color="auto"/>
      </w:divBdr>
    </w:div>
    <w:div w:id="214153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00645-17C1-48FD-ABB0-8203E77D1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5</Pages>
  <Words>1419</Words>
  <Characters>7692</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WARREN BUFFETT</vt:lpstr>
      <vt:lpstr>WARREN BUFFETT</vt:lpstr>
    </vt:vector>
  </TitlesOfParts>
  <Company>Exane</Company>
  <LinksUpToDate>false</LinksUpToDate>
  <CharactersWithSpaces>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WARREN BUFFETT</dc:title>
  <dc:creator>coquereau_t</dc:creator>
  <cp:lastModifiedBy>Thomas Rouxel</cp:lastModifiedBy>
  <cp:revision>19</cp:revision>
  <cp:lastPrinted>2015-08-17T09:46:00Z</cp:lastPrinted>
  <dcterms:created xsi:type="dcterms:W3CDTF">2015-08-17T12:50:00Z</dcterms:created>
  <dcterms:modified xsi:type="dcterms:W3CDTF">2015-08-25T09:00:00Z</dcterms:modified>
</cp:coreProperties>
</file>