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1"/>
        </w:rPr>
        <w:t>HỌC VIỆN CÔNG NGHỆ BƯU CHÍNH VIỄN THÔNG</w:t>
        <w:br/>
        <w:t>BỘ MÔN HỆ THỐNG THÔNG TIN &amp; KHOA HỌC DỮ LIỆU</w:t>
        <w:br/>
      </w:r>
      <w:r>
        <w:rPr>
          <w:b/>
          <w:color w:val="103673"/>
          <w:sz w:val="30"/>
        </w:rPr>
        <w:t>BÁO CÁO THỰC HÀNH BÀI 1</w:t>
        <w:br/>
      </w:r>
    </w:p>
    <w:p>
      <w:pPr>
        <w:jc w:val="center"/>
      </w:pPr>
      <w:r>
        <w:rPr>
          <w:b/>
          <w:color w:val="C00000"/>
          <w:sz w:val="24"/>
        </w:rPr>
        <w:t>CHỦ ĐỀ: KẾT NỐI ĐA NGUỒN &amp; NẠP DỮ LIỆU VÀO HỒ DỮ LIỆU (DATA LAKE INGESTION)</w:t>
      </w:r>
    </w:p>
    <w:tbl>
      <w:tblPr>
        <w:tblW w:type="auto" w:w="0"/>
        <w:jc w:val="center"/>
        <w:tblLayout w:type="fixed"/>
        <w:tblLook w:firstColumn="1" w:firstRow="1" w:lastColumn="0" w:lastRow="0" w:noHBand="0" w:noVBand="1" w:val="04A0"/>
      </w:tblPr>
      <w:tblGrid>
        <w:gridCol w:w="4824"/>
        <w:gridCol w:w="4824"/>
      </w:tblGrid>
      <w:tr>
        <w:tc>
          <w:tcPr>
            <w:tcW w:type="dxa" w:w="3600"/>
            <w:shd w:fill="F2F4F7"/>
          </w:tcPr>
          <w:p>
            <w:r>
              <w:rPr>
                <w:rFonts w:ascii="Times New Roman" w:hAnsi="Times New Roman"/>
                <w:b/>
              </w:rPr>
              <w:t>Học phần:</w:t>
            </w:r>
          </w:p>
        </w:tc>
        <w:tc>
          <w:tcPr>
            <w:tcW w:type="dxa" w:w="5760"/>
            <w:shd w:fill="FFFFFF"/>
          </w:tcPr>
          <w:p>
            <w:r>
              <w:rPr>
                <w:rFonts w:ascii="Times New Roman" w:hAnsi="Times New Roman"/>
              </w:rPr>
              <w:t>Kho dữ liệu và Khai phá dữ liệu (Data Warehouse &amp; Data Mining)</w:t>
            </w:r>
          </w:p>
        </w:tc>
      </w:tr>
      <w:tr>
        <w:tc>
          <w:tcPr>
            <w:tcW w:type="dxa" w:w="4824"/>
            <w:shd w:fill="F2F4F7"/>
          </w:tcPr>
          <w:p>
            <w:r>
              <w:rPr>
                <w:rFonts w:ascii="Times New Roman" w:hAnsi="Times New Roman"/>
                <w:b/>
              </w:rPr>
              <w:t>Nhóm thực hiện:</w:t>
            </w:r>
          </w:p>
        </w:tc>
        <w:tc>
          <w:tcPr>
            <w:tcW w:type="dxa" w:w="4824"/>
            <w:shd w:fill="FFFFFF"/>
          </w:tcPr>
          <w:p>
            <w:r>
              <w:rPr>
                <w:rFonts w:ascii="Times New Roman" w:hAnsi="Times New Roman"/>
              </w:rPr>
              <w:t>CyberGuardrails (hoặc điền Tên &amp; Mã sinh viên)</w:t>
            </w:r>
          </w:p>
        </w:tc>
      </w:tr>
      <w:tr>
        <w:tc>
          <w:tcPr>
            <w:tcW w:type="dxa" w:w="4824"/>
            <w:shd w:fill="F2F4F7"/>
          </w:tcPr>
          <w:p>
            <w:r>
              <w:rPr>
                <w:rFonts w:ascii="Times New Roman" w:hAnsi="Times New Roman"/>
                <w:b/>
              </w:rPr>
              <w:t>Đề tài nghiên cứu:</w:t>
            </w:r>
          </w:p>
        </w:tc>
        <w:tc>
          <w:tcPr>
            <w:tcW w:type="dxa" w:w="4824"/>
            <w:shd w:fill="FFFFFF"/>
          </w:tcPr>
          <w:p>
            <w:r>
              <w:rPr>
                <w:rFonts w:ascii="Times New Roman" w:hAnsi="Times New Roman"/>
              </w:rPr>
              <w:t>Hệ thống Kho dữ liệu và Khai phá dữ liệu phục vụ DLP Analytics &amp; UEBA</w:t>
            </w:r>
          </w:p>
        </w:tc>
      </w:tr>
    </w:tbl>
    <w:p>
      <w:pPr>
        <w:jc w:val="center"/>
      </w:pPr>
      <w:r>
        <w:t>────────────────────────────────────────────────────────────</w:t>
      </w:r>
    </w:p>
    <w:p>
      <w:pPr>
        <w:keepNext/>
        <w:spacing w:before="220" w:after="80"/>
      </w:pPr>
      <w:r>
        <w:rPr>
          <w:rFonts w:ascii="Times New Roman" w:hAnsi="Times New Roman"/>
          <w:b/>
          <w:color w:val="103673"/>
          <w:sz w:val="24"/>
        </w:rPr>
        <w:t>1. MỤC TIÊU BÀI THỰC HÀNH &amp; KIẾN THỨC NỀN TẢNG</w:t>
      </w:r>
    </w:p>
    <w:p>
      <w:r>
        <w:rPr>
          <w:b/>
        </w:rPr>
        <w:t xml:space="preserve">• Mục tiêu bài thực hành: </w:t>
      </w:r>
      <w:r>
        <w:t xml:space="preserve">Nắm vững quy trình thu thập (Data Ingestion) dữ liệu từ nhiều nguồn khác nhau (Tệp tin có cấu trúc Parquet/CSV và Web API JSON bán cấu trúc), nạp vào tầng lưu trữ thô </w:t>
      </w:r>
      <w:r>
        <w:rPr>
          <w:b/>
        </w:rPr>
        <w:t>Bronze Layer (raw)</w:t>
      </w:r>
      <w:r>
        <w:t xml:space="preserve"> của Hồ dữ liệu (Data Lake), sau đó sử dụng công cụ xử lý OLAP DuckDB để kiểm chứng tính toàn vẹn và phân tích dữ liệu.</w:t>
      </w:r>
    </w:p>
    <w:p>
      <w:r>
        <w:rPr>
          <w:b/>
        </w:rPr>
        <w:t xml:space="preserve">• Khái niệm Hồ dữ liệu (Data Lake) &amp; Phân tầng Medallion: </w:t>
      </w:r>
      <w:r>
        <w:t xml:space="preserve">Hồ dữ liệu là kho lưu trữ trung tâm cho phép lưu giữ mọi định dạng dữ liệu (có cấu trúc, bán cấu trúc, phi cấu trúc) ở trạng thái nguyên bản với chi phí thấp. Kiến trúc phân tầng gồm 3 vùng: </w:t>
      </w:r>
      <w:r>
        <w:rPr>
          <w:b/>
        </w:rPr>
        <w:t>Bronze (raw)</w:t>
      </w:r>
      <w:r>
        <w:t xml:space="preserve"> lưu dữ liệu thô nguyên bản; </w:t>
      </w:r>
      <w:r>
        <w:rPr>
          <w:b/>
        </w:rPr>
        <w:t>Silver (staging)</w:t>
      </w:r>
      <w:r>
        <w:t xml:space="preserve"> lưu dữ liệu đã làm sạch và chuẩn hóa; </w:t>
      </w:r>
      <w:r>
        <w:rPr>
          <w:b/>
        </w:rPr>
        <w:t>Gold (curated/DWH)</w:t>
      </w:r>
      <w:r>
        <w:t xml:space="preserve"> lưu dữ liệu mô hình hóa phục vụ phân tích nghiệp vụ.</w:t>
      </w:r>
    </w:p>
    <w:p>
      <w:pPr>
        <w:keepNext/>
        <w:spacing w:before="220" w:after="80"/>
      </w:pPr>
      <w:r>
        <w:rPr>
          <w:rFonts w:ascii="Times New Roman" w:hAnsi="Times New Roman"/>
          <w:b/>
          <w:color w:val="103673"/>
          <w:sz w:val="24"/>
        </w:rPr>
        <w:t>2. NỘI DUNG VÀ CÁC BƯỚC TRIỂN KHAI THỰC HIỆN</w:t>
      </w:r>
    </w:p>
    <w:p>
      <w:r>
        <w:rPr>
          <w:b/>
        </w:rPr>
        <w:t>2.1. Bước 1: Khởi tạo cấu hình và kết nối Hồ dữ liệu</w:t>
        <w:br/>
      </w:r>
      <w:r>
        <w:t>Thiết lập tham số kết nối hệ thống lưu trữ S3/MinIO và nạp secret truy cập cho DuckDB thông qua extension `httpfs`. Đảm bảo các bucket/thư mục phân vùng (`raw`, `staging`, `curated`) sẵn sàng tiếp nhận dữ liệu.</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1.1: Khởi tạo cấu hình kết nối DuckDB và thiết lập cấu trúc bucket vùng Bronze (raw) của Hồ dữ liệu.</w:t>
      </w:r>
    </w:p>
    <w:p>
      <w:r>
        <w:rPr>
          <w:b/>
        </w:rPr>
        <w:t>2.2. Bước 2: Ingestion dữ liệu tệp có cấu trúc (Parquet / CSV) vào vùng Bronze</w:t>
        <w:br/>
      </w:r>
      <w:r>
        <w:t>Thực hiện tải dữ liệu chuyến đi và bảng tra cứu khu vực, thực hiện trích xuất mẫu 150.000 bản ghi và lưu trữ dưới định dạng Parquet nén tối ưu vào vùng `s3://raw/nyc_taxi/`.</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1.2: Nạp dữ liệu tệp có cấu trúc và lưu trữ định dạng Parquet tại vùng Bronze của Hồ dữ liệu.</w:t>
      </w:r>
    </w:p>
    <w:p>
      <w:r>
        <w:rPr>
          <w:b/>
        </w:rPr>
        <w:t>2.3. Bước 3: Ingestion dữ liệu bán cấu trúc từ Web API JSON</w:t>
        <w:br/>
      </w:r>
      <w:r>
        <w:t>Gửi HTTP request đến Web API (Open-Meteo), tiếp nhận phản hồi định dạng JSON chứa các chỉ số thời tiết theo ngày, chuyển đổi thành DataFrame có cấu trúc và lưu trữ vào `s3://raw/external/weather_daily.parquet`.</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1.3: Thu thập dữ liệu bán cấu trúc từ Web API và chuyển đổi nạp vào Hồ dữ liệu s3://raw/external/.</w:t>
      </w:r>
    </w:p>
    <w:p>
      <w:r>
        <w:rPr>
          <w:b/>
        </w:rPr>
        <w:t>2.4. Bước 4: Kiểm chứng tính toàn vẹn và phân tích sơ bộ bằng DuckDB</w:t>
        <w:br/>
      </w:r>
      <w:r>
        <w:t>Sử dụng công cụ DuckDB thực thi câu lệnh truy vấn OLAP tổng hợp (Aggregation) trực tiếp trên tệp Parquet trong Hồ dữ liệu để kiểm tra số lượng bản ghi và doanh thu trung bình theo từng hình thức thanh toán.</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1.4: Sử dụng công cụ DuckDB thực thi truy vấn OLAP trực tiếp trên tầng Bronze để kiểm chứng dữ liệu.</w:t>
      </w:r>
    </w:p>
    <w:p>
      <w:pPr>
        <w:keepNext/>
        <w:spacing w:before="220" w:after="80"/>
      </w:pPr>
      <w:r>
        <w:rPr>
          <w:rFonts w:ascii="Times New Roman" w:hAnsi="Times New Roman"/>
          <w:b/>
          <w:color w:val="103673"/>
          <w:sz w:val="24"/>
        </w:rPr>
        <w:t>3. KẾT QUẢ THỰC HIỆN CÁC BÀI TẬP TỰ LÀM (ASSIGNMENTS)</w:t>
      </w:r>
    </w:p>
    <w:p>
      <w:r>
        <w:rPr>
          <w:b/>
        </w:rPr>
        <w:t>3.1. Bài tập 1: Nạp dữ liệu chỉ số kinh tế Việt Nam từ World Bank API</w:t>
        <w:br/>
      </w:r>
      <w:r>
        <w:t>• Nghiệp vụ: Thu thập chỉ số GDP Việt Nam qua các năm từ API của Ngân hàng Thế giới (`https://api.worldbank.org/v2/country/VNM/indicator/NY.GDP.MKTP.CD?format=json`).</w:t>
        <w:br/>
      </w:r>
      <w:r>
        <w:t>• Kết quả: Dữ liệu JSON được phân tách trường `date` (năm), `value` (GDP theo USD), xử lý giá trị rỗng và nạp thành công vào `s3://raw/external/vietnam_gdp.parquet`.</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1.5: Hoàn thành Bài tập 1 - Thu thập dữ liệu GDP Việt Nam từ World Bank API vào tầng Bronze.</w:t>
      </w:r>
    </w:p>
    <w:p>
      <w:r>
        <w:rPr>
          <w:b/>
        </w:rPr>
        <w:t>3.2. Bài tập 2: Phân tích phân bố số lượng hành khách bằng SQL DuckDB</w:t>
        <w:br/>
      </w:r>
      <w:r>
        <w:t>• Nghiệp vụ: Viết câu lệnh truy vấn SQL tổng hợp số chuyến, tính tỷ lệ phần trăm đóng góp và giá trị tiền trung bình theo từng nhóm số lượng hành khách (`passenger_count`).</w:t>
        <w:br/>
      </w:r>
      <w:r>
        <w:t xml:space="preserve">• Kết luận rút ra: Nhóm chuyến đi phổ biến nhất là nhóm đi </w:t>
      </w:r>
      <w:r>
        <w:rPr>
          <w:b/>
        </w:rPr>
        <w:t>1 hành khách</w:t>
      </w:r>
      <w:r>
        <w:t xml:space="preserve"> (chiếm tỷ lệ áp đảo trong tổng số chuyến).</w:t>
      </w:r>
    </w:p>
    <w:tbl>
      <w:tblPr>
        <w:tblW w:type="auto" w:w="0"/>
        <w:jc w:val="center"/>
        <w:tblLayout w:type="fixed"/>
        <w:tblLook w:firstColumn="1" w:firstRow="1" w:lastColumn="0" w:lastRow="0" w:noHBand="0" w:noVBand="1" w:val="04A0"/>
      </w:tblPr>
      <w:tblGrid>
        <w:gridCol w:w="9648"/>
      </w:tblGrid>
      <w:tr>
        <w:tc>
          <w:tcPr>
            <w:tcW w:type="dxa" w:w="9360"/>
            <w:shd w:fill="F8F9FA"/>
          </w:tcPr>
          <w:p>
            <w:pPr>
              <w:spacing w:before="400" w:after="400"/>
              <w:jc w:val="center"/>
            </w:pPr>
            <w:r>
              <w:rPr>
                <w:rFonts w:ascii="Times New Roman" w:hAnsi="Times New Roman"/>
                <w:b/>
                <w:color w:val="6C757D"/>
                <w:sz w:val="22"/>
              </w:rPr>
              <w:t>[ 📷 DÁN ẢNH MINH CHỨNG SCREENSHOT VÀO ĐÂY ]</w:t>
            </w:r>
          </w:p>
        </w:tc>
      </w:tr>
    </w:tbl>
    <w:p>
      <w:pPr>
        <w:spacing w:before="60" w:after="160"/>
        <w:jc w:val="center"/>
      </w:pPr>
      <w:r>
        <w:rPr>
          <w:rFonts w:ascii="Times New Roman" w:hAnsi="Times New Roman"/>
          <w:b/>
          <w:i/>
          <w:color w:val="1F4E79"/>
          <w:sz w:val="20"/>
        </w:rPr>
        <w:t>Hình 1.6: Hoàn thành Bài tập 2 - Bảng phân tích phân bố số lượng hành khách thực thi bằng DuckDB.</w:t>
      </w:r>
    </w:p>
    <w:p>
      <w:pPr>
        <w:keepNext/>
        <w:spacing w:before="220" w:after="80"/>
      </w:pPr>
      <w:r>
        <w:rPr>
          <w:rFonts w:ascii="Times New Roman" w:hAnsi="Times New Roman"/>
          <w:b/>
          <w:color w:val="103673"/>
          <w:sz w:val="24"/>
        </w:rPr>
        <w:t>4. ĐÁNH GIÁ VÀ KẾT LUẬN</w:t>
      </w:r>
    </w:p>
    <w:p>
      <w:r>
        <w:rPr>
          <w:b/>
        </w:rPr>
        <w:t xml:space="preserve">• Kết quả đạt được: </w:t>
      </w:r>
      <w:r>
        <w:t>Đã làm chủ quy trình Ingestion đa nguồn (Tệp tin + Web API), hiểu rõ vai trò của tầng Bronze trong kiến trúc Hồ dữ liệu (Data Lake) và thành thạo việc sử dụng DuckDB để truy vấn trực tiếp trên file Parquet mà không cần qua khâu nạp CSDL truyền thống.</w:t>
        <w:br/>
      </w:r>
      <w:r>
        <w:rPr>
          <w:b/>
        </w:rPr>
        <w:t xml:space="preserve">• Bước tiếp theo: </w:t>
      </w:r>
      <w:r>
        <w:t>Chuyển sang Bài 2 — Thực hiện quy trình ELT đa nguồn, xử lý làm sạch, chuẩn hóa và chuyển tầng dữ liệu từ Bronze sang Silver Layer.</w:t>
      </w:r>
    </w:p>
    <w:p/>
    <w:p>
      <w:pPr>
        <w:jc w:val="right"/>
      </w:pPr>
      <w:r>
        <w:rPr>
          <w:i/>
        </w:rPr>
        <w:t>Hà Nội, Ngày 15 Tháng 09 Năm 2026</w:t>
        <w:br/>
      </w:r>
      <w:r>
        <w:rPr>
          <w:b/>
        </w:rPr>
        <w:t>SINH VIÊN THỰC HIỆN</w:t>
        <w:br/>
        <w:br/>
        <w:br/>
      </w:r>
      <w:r>
        <w:t>(Ký và ghi rõ họ tên)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