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81,400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74,100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10%</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recovery after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hồi phục khi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Treasure Commercial Joint Stock Bank(STB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5,839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28.7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51% of the VND8,100bn FY26 plan, of which VND2,106bn came in 1Q26. The shortfall stems from NIM compression amid deposit competition and a heavier provisioning charge.</w:t>
      </w:r>
    </w:p>
    <w:p>
      <w:pPr>
        <w:spacing w:after="140" w:line="250"/>
        <w:jc w:val="both"/>
      </w:pPr>
      <w:r>
        <w:rPr>
          <w:rFonts w:ascii="Calibri" w:cs="Calibri" w:eastAsia="Calibri" w:hAnsi="Calibri"/>
          <w:b w:val="false"/>
          <w:bCs w:val="false"/>
          <w:color w:val="000000"/>
          <w:sz w:val="17"/>
          <w:szCs w:val="17"/>
        </w:rPr>
        <w:t xml:space="preserve">The NPL ratio reached 7.54% at end-2Q26, up 1.13%p year-to-date and the highest in the system; Broad NPL at 10.2% (+7%p YoY).  Group 3-5 balances rose approximately VND7,800bn to VND47,957bn, of which about 67% (VND32,000bn) is Group 5, while Group 4 more than doubled (+156%).</w:t>
      </w:r>
    </w:p>
    <w:p>
      <w:pPr>
        <w:spacing w:after="140" w:line="250"/>
        <w:jc w:val="both"/>
      </w:pPr>
      <w:r>
        <w:rPr>
          <w:rFonts w:ascii="Calibri" w:cs="Calibri" w:eastAsia="Calibri" w:hAnsi="Calibri"/>
          <w:b w:val="false"/>
          <w:bCs w:val="false"/>
          <w:color w:val="000000"/>
          <w:sz w:val="17"/>
          <w:szCs w:val="17"/>
        </w:rPr>
        <w:t xml:space="preserve">We set FY26F NPL at 5.5%, from below 4.5%, and FY27F at 4.0% from 3.1%. Reserves reached VND27.2tn at end-2Q26 — 56.7% coverage, up from 50.0% at end-FY25 — after VND7.1tn of 1H26 charges. A further VND3.7tn charge in 2H26 funds write-offs of VND11.0tn, or 34% of the Group 5 balance, leaving coverage at 55.4%.</w:t>
      </w:r>
    </w:p>
    <w:p>
      <w:pPr>
        <w:spacing w:after="40" w:line="250"/>
        <w:jc w:val="left"/>
      </w:pPr>
      <w:r>
        <w:rPr>
          <w:rFonts w:ascii="Calibri" w:cs="Calibri" w:eastAsia="Calibri" w:hAnsi="Calibri"/>
          <w:b/>
          <w:bCs/>
          <w:color w:val="1F3864"/>
          <w:sz w:val="17"/>
          <w:szCs w:val="17"/>
        </w:rPr>
        <w:t xml:space="preserve">FY26F PBT set at VND7,500bn on the loan growth reset:</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VND3,360bn.</w:t>
      </w:r>
    </w:p>
    <w:p>
      <w:pPr>
        <w:spacing w:after="140" w:line="250"/>
        <w:jc w:val="both"/>
      </w:pPr>
      <w:r>
        <w:rPr>
          <w:rFonts w:ascii="Calibri" w:cs="Calibri" w:eastAsia="Calibri" w:hAnsi="Calibri"/>
          <w:b w:val="false"/>
          <w:bCs w:val="false"/>
          <w:color w:val="000000"/>
          <w:sz w:val="17"/>
          <w:szCs w:val="17"/>
        </w:rPr>
        <w:t xml:space="preserve">We now carry FY26F loan growth of 2.3%, against the 11.7% previously assumed and the 1.5% delivered in 1H26. That takes gross loans to VND640,643bn and NII to VND24,570bn (-7.9% YoY), and we set FY26F PBT at VND7,500bn (-1.7% YoY) — 7.4% below the board-approved plan of VND8,100bn, where we previously sat marginally above it. The implied 2H26 PBT is VND3,363bn against VND297bn in 2H25.</w:t>
      </w:r>
    </w:p>
    <w:p>
      <w:pPr>
        <w:spacing w:after="140" w:line="250"/>
        <w:jc w:val="both"/>
      </w:pPr>
      <w:r>
        <w:rPr>
          <w:rFonts w:ascii="Calibri" w:cs="Calibri" w:eastAsia="Calibri" w:hAnsi="Calibri"/>
          <w:b w:val="false"/>
          <w:bCs w:val="false"/>
          <w:color w:val="000000"/>
          <w:sz w:val="17"/>
          <w:szCs w:val="17"/>
        </w:rPr>
        <w:t xml:space="preserve">Other FY26F assumptions: a provisioning charge of VND10.8tn (-5.0% YoY) and non-interest income of VND5,950bn. We hold CIR at 40.0%, easing to 38.0% in FY27F and 36.0% in FY28F; on 1H26 opex of VND6,233bn that needs 2H26 costs of VND5,975bn, 4.1% below the first half — a real cost reduction, not an accrual shift. Separately, STB's seizure of 507 land-use right certificates at LDG's Viva City against VND350bn of overdue principal is immaterial in size but shows the collateral channel the write-off programme depends on.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24,388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27,512</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7,500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9,973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16,076</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7,765</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12,516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2,834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3,769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6,075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16.6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28.7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1,124,067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1,260,548</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65,759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73,524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86,040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31,919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35,689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41,764</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Tài Lộc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5,839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28.7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trong đó Q1/2026 đóng góp 2,106 tỷ đồng. Mức sụt giảm đến từ NIM thu hẹp trong bối cảnh cạnh tranh huy động gay gắt và chi phí dự phòng tăng đáng kể.</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lên 47,957 tỷ đồng, trong đó khoảng 67% (32,000 tỷ đồng) xếp nhóm 5, nợ nhóm 4 tăng hơn gấp đôi (+156%).</w:t>
      </w:r>
    </w:p>
    <w:p>
      <w:pPr>
        <w:spacing w:after="140" w:line="250"/>
        <w:jc w:val="both"/>
      </w:pPr>
      <w:r>
        <w:rPr>
          <w:rFonts w:ascii="Calibri" w:cs="Calibri" w:eastAsia="Calibri" w:hAnsi="Calibri"/>
          <w:b w:val="false"/>
          <w:bCs w:val="false"/>
          <w:color w:val="000000"/>
          <w:sz w:val="17"/>
          <w:szCs w:val="17"/>
        </w:rPr>
        <w:t xml:space="preserve">Chúng tôi đặt giả định nợ xấu FY26F ở 5.5% (từ dưới 4.5%) và FY27F ở 4.0% (từ 3.1%). Dự phòng đạt 27.2 nghìn tỷ đồng cuối Q2/2026 — bao phủ 56.7%, tăng từ 50.0% cuối 2025 — sau khi trích 7.1 nghìn tỷ đồng trong 1H26 và trích thêm 3.7 nghìn tỷ đồng trong 2H26 đủ để xóa 11.0 nghìn tỷ đồng, tương đương 34% dư nợ nhóm 5, đưa bao phủ về 55.4%.</w:t>
      </w:r>
    </w:p>
    <w:p>
      <w:pPr>
        <w:spacing w:after="40" w:line="250"/>
        <w:jc w:val="left"/>
      </w:pPr>
      <w:r>
        <w:rPr>
          <w:rFonts w:ascii="Calibri" w:cs="Calibri" w:eastAsia="Calibri" w:hAnsi="Calibri"/>
          <w:b/>
          <w:bCs/>
          <w:color w:val="1F3864"/>
          <w:sz w:val="17"/>
          <w:szCs w:val="17"/>
        </w:rPr>
        <w:t xml:space="preserve">Đặt LNTT FY26F ở 7,500 tỷ đồng sau khi điều chỉnh tăng trưởng tín dụng:</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3,360 tỷ đồng.</w:t>
      </w:r>
    </w:p>
    <w:p>
      <w:pPr>
        <w:spacing w:after="140" w:line="250"/>
        <w:jc w:val="both"/>
      </w:pPr>
      <w:r>
        <w:rPr>
          <w:rFonts w:ascii="Calibri" w:cs="Calibri" w:eastAsia="Calibri" w:hAnsi="Calibri"/>
          <w:b w:val="false"/>
          <w:bCs w:val="false"/>
          <w:color w:val="000000"/>
          <w:sz w:val="17"/>
          <w:szCs w:val="17"/>
        </w:rPr>
        <w:t xml:space="preserve">Chúng tôi hạ giả định tăng trưởng tín dụng FY26F về 2.3%, so với 11.7% trước đây và 1.5% thực hiện trong 1H26. Dư nợ theo đó còn 640,643 tỷ đồng và NII còn 24,570 tỷ đồng (-7.9% CK), kéo LNTT FY26F xuống 7,500 tỷ đồng (-1.7% CK) — thấp hơn 7% so với kế hoạch 8,100 tỷ đồng đã được ĐHĐCĐ thông qua, trong khi bản trước còn nhỉnh hơn kế hoạch. Mức này hàm ý LNTT 2H26 khoảng 3,363 tỷ đồng so với 297 tỷ đồng của 2H25.</w:t>
      </w:r>
    </w:p>
    <w:p>
      <w:pPr>
        <w:spacing w:after="140" w:line="250"/>
        <w:jc w:val="both"/>
      </w:pPr>
      <w:r>
        <w:rPr>
          <w:rFonts w:ascii="Calibri" w:cs="Calibri" w:eastAsia="Calibri" w:hAnsi="Calibri"/>
          <w:b w:val="false"/>
          <w:bCs w:val="false"/>
          <w:color w:val="000000"/>
          <w:sz w:val="17"/>
          <w:szCs w:val="17"/>
        </w:rPr>
        <w:t xml:space="preserve">Các giả định FY26F khác: chi phí dự phòng 10.8 nghìn tỷ đồng (-5.0% CK) và thu nhập ngoài lãi 5,950 tỷ đồng. CIR giữ ở 40.0%, giảm về 38.0% năm FY27F và 36.0% năm FY28F; với chi phí 1H26 là 6,233 tỷ đồng, mức này đòi hỏi chi phí 2H26 chỉ 5,975 tỷ đồng, thấp hơn nửa đầu năm 4.1% — tức phải cắt giảm chi phí thực sự, không chỉ là dồn dịch hạch toán. Ở diễn biến khác, việc Sacombank thu giữ 507 giấy chứng nhận quyền sử dụng đất tại dự án Viva City đối với 350 tỷ đồng dư nợ gốc quá hạn tuy chưa trọng yếu nhưng cho thấy kênh xử lý tài sản đảm bảo mà chương trình xóa nợ 2H26 phụ thuộc vào.</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24,388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27,512</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7,500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9,973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16,076</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7,765</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12,516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2,834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3,769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6,075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16.6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28.7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1,124,067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1,260,548</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65,759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73,524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86,040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31,919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35,689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41,764</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recovery after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performance: revenue VND26,269bn (+12.6% YoY) and PBT VND5,714bn (+18.1% YoY), 45%/49% of the FY26 plan, with the group PBT margin widening to 21.8% (1H25: 18.9%). In 2Q26: revenue VND13,789bn, PBT VND2,910bn, NPATMI VND2,568bn (+14% YoY). In 1H26, Technology revenue was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to VND308bn (+100.5%)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w:t>
      </w:r>
    </w:p>
    <w:p>
      <w:pPr>
        <w:spacing w:after="140" w:line="250"/>
        <w:jc w:val="both"/>
      </w:pPr>
      <w:r>
        <w:rPr>
          <w:rFonts w:ascii="Calibri" w:cs="Calibri" w:eastAsia="Calibri" w:hAnsi="Calibri"/>
          <w:b w:val="false"/>
          <w:bCs w:val="false"/>
          <w:color w:val="000000"/>
          <w:sz w:val="17"/>
          <w:szCs w:val="17"/>
        </w:rPr>
        <w:t xml:space="preserve">The AI demand expansion versus compression of headcount-based pricing: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(46.5%) , Synnex FPT (48%) and FPT Online (49.5%) — rises to VND2,608bn in FY26F and VND3,449bn by FY28F, and grew 40.8% YoY in 1H26. Operating leverage carries the rest: SG&amp;A falls from 17.6% of sales to 16.5% by FY28F thanks to cost-savings in AI. ROE holds near 27% on net cash of around 60% of equity and a maintained DPS of VND2,000.</w:t>
      </w:r>
    </w:p>
    <w:p>
      <w:pPr>
        <w:spacing w:after="140" w:line="250"/>
        <w:jc w:val="both"/>
      </w:pPr>
      <w:r>
        <w:rPr>
          <w:rFonts w:ascii="Calibri" w:cs="Calibri" w:eastAsia="Calibri" w:hAnsi="Calibri"/>
          <w:b w:val="false"/>
          <w:bCs w:val="false"/>
          <w:color w:val="000000"/>
          <w:sz w:val="17"/>
          <w:szCs w:val="17"/>
        </w:rPr>
        <w:t xml:space="preserve">We raise our DCF (FCFF) target price to VND87,950; at the target price, 13.7x FY26F and 11.8x FY27F.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deconsolidated (equity method) from FY26F.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hồi phục khi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tiến độ kế hoạch: doanh thu 26,269 tỷ đồng (+12.6% CK) và LNTT 5,714 tỷ (+18.1% CK), hoàn thành 45%/49% kế hoạch năm; biên LNTT mở rộng lên 21.8%. Q2/2026 đạt doanh thu 13,789 tỷ, LNTT 2,910 tỷ và LNST-CĐTS 2,568 tỷ (+14% CK). Công nghệ đạt 23,138 tỷ (+15% CK; 88% doanh thu tập đoàn) và LNTT 3,314 tỷ (+16.9% CK), biên 14.3%;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của danh mục trong nước: CNTT trong nước tăng nhanh nhất 6T26, đạt 4,236 tỷ đồng (+22.5% CK), LNTT mảng tăng gấp đôi lên 308 tỷ nhờ trúng thầu chương trình chuyển đổi số quốc gia — nguồn việc nhiều năm, ít phụ thuộc chu kỳ CNTT toàn cầu, tuy biên 7.3% làm loãng biên chung. Doanh thu ký mới CNTT nước ngoài đạt 26,338 tỷ trong 1H26 (+32.3% CK), gồm 14 dự án trên 10 triệu USD — tỷ lệ ký mới/doanh thu 1.39 lần so với 1.07-1.22 lần giai đoạn FY21-25. Trên cơ sở đó, dự phóng CNTT nước ngoài tăng lên +16.7% FY27F và +17.7% FY28F, từ +14.7% FY26F và +13.4% của 1H26; Mỹ hạ về +5.9% do cạnh tranh giá thầu.</w:t>
      </w:r>
    </w:p>
    <w:p>
      <w:pPr>
        <w:spacing w:after="140" w:line="250"/>
        <w:jc w:val="both"/>
      </w:pPr>
      <w:r>
        <w:rPr>
          <w:rFonts w:ascii="Calibri" w:cs="Calibri" w:eastAsia="Calibri" w:hAnsi="Calibri"/>
          <w:b w:val="false"/>
          <w:bCs w:val="false"/>
          <w:color w:val="000000"/>
          <w:sz w:val="17"/>
          <w:szCs w:val="17"/>
        </w:rPr>
        <w:t xml:space="preserve">AI  mở rộng nhu cầu: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2Q26.</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từ công ty liên kết — FPT Telecom (45.66%, hạch toán theo phương pháp VCSH từ FY26), FPT Retail (46.5%) , Synnex FPT (48%) và FPT Online (49.5%) — tăng lên 2,608 tỷ FY26F và 3,449 tỷ FY28F, đã tăng 40.8% CK trong 1H26. Phần còn lại đến từ đòn bẩy hoạt động: chi phí bán hàng và quản lý giảm từ 17.6% doanh thu xuống 16.5% vào FY28F, biên gộp giữ nguyên. ROE duy trì quanh 27% nhờ tiền ròng khoảng 60% VCSH và cổ tức 2,000 đồng/cp.</w:t>
      </w:r>
    </w:p>
    <w:p>
      <w:pPr>
        <w:spacing w:after="140" w:line="250"/>
        <w:jc w:val="both"/>
      </w:pPr>
      <w:r>
        <w:rPr>
          <w:rFonts w:ascii="Calibri" w:cs="Calibri" w:eastAsia="Calibri" w:hAnsi="Calibri"/>
          <w:b w:val="false"/>
          <w:bCs w:val="false"/>
          <w:color w:val="000000"/>
          <w:sz w:val="17"/>
          <w:szCs w:val="17"/>
        </w:rPr>
        <w:t xml:space="preserve">Chúng tôi nâng giá mục tiêu DCF (FCFF) lên 87,950 đồng: tại giá mục tiêu là mức P/E forward là 13.7x FY26F và 11.8x FY27F. Rủi ro: (1) giảm phát giá do AI nhanh hơn giả định tăng trưởng dài hạn (2) chi tiêu CNTT tại Mỹ và toàn cầu thấp cùng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2026-08-05T08:30:11.770Z</dcterms:created>
  <dcterms:modified xsi:type="dcterms:W3CDTF">2026-08-05T08:30:11.773Z</dcterms:modified>
</cp:coreProperties>
</file>

<file path=docProps/custom.xml><?xml version="1.0" encoding="utf-8"?>
<Properties xmlns="http://schemas.openxmlformats.org/officeDocument/2006/custom-properties" xmlns:vt="http://schemas.openxmlformats.org/officeDocument/2006/docPropsVTypes"/>
</file>