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05A00"/>
          <w:spacing w:val="40"/>
          <w:sz w:val="20"/>
          <w:szCs w:val="20"/>
        </w:rPr>
        <w:t xml:space="preserve">HOTSTOCK</w:t>
      </w:r>
    </w:p>
    <w:p>
      <w:pPr>
        <w:pBdr>
          <w:bottom w:val="single" w:color="043B72" w:sz="12" w:space="8"/>
        </w:pBdr>
        <w:spacing w:after="60"/>
      </w:pPr>
      <w:r>
        <w:rPr>
          <w:rFonts w:ascii="Calibri" w:cs="Calibri" w:eastAsia="Calibri" w:hAnsi="Calibri"/>
          <w:b/>
          <w:bCs/>
          <w:color w:val="043B72"/>
          <w:sz w:val="40"/>
          <w:szCs w:val="40"/>
        </w:rPr>
        <w:t xml:space="preserve">VPB — Ngân hàng VPBank</w:t>
      </w:r>
    </w:p>
    <w:p>
      <w:pPr>
        <w:spacing w:after="260" w:before="12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4"/>
          <w:szCs w:val="24"/>
        </w:rPr>
        <w:t xml:space="preserve">Lãi kỷ lục, chờ câu chuyện tăng vốn</w:t>
      </w:r>
    </w:p>
    <w:tbl>
      <w:tblPr>
        <w:tblW w:type="dxa" w:w="9360"/>
        <w:tblBorders>
          <w:top w:val="single" w:color="D9D9D9" w:sz="4"/>
          <w:left w:val="none"/>
          <w:bottom w:val="single" w:color="D9D9D9" w:sz="4"/>
          <w:right w:val="none"/>
          <w:insideH w:val="single" w:color="EDEDED" w:sz="4"/>
          <w:insideV w:val="none"/>
        </w:tblBorders>
      </w:tblPr>
      <w:tblGrid>
        <w:gridCol w:w="2600"/>
        <w:gridCol w:w="6760"/>
      </w:tblGrid>
      <w:tr>
        <w:tc>
          <w:tcPr>
            <w:tcW w:type="dxa" w:w="2600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1"/>
                <w:szCs w:val="21"/>
              </w:rPr>
              <w:t xml:space="preserve">Lịch phát</w:t>
            </w:r>
          </w:p>
        </w:tc>
        <w:tc>
          <w:tcPr>
            <w:tcW w:type="dxa" w:w="6760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Thứ Sáu, 31/07/2026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1"/>
                <w:szCs w:val="21"/>
              </w:rPr>
              <w:t xml:space="preserve">Người thực hiện</w:t>
            </w:r>
          </w:p>
        </w:tc>
        <w:tc>
          <w:tcPr>
            <w:tcW w:type="dxa" w:w="6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Đạt Quân</w:t>
            </w:r>
          </w:p>
        </w:tc>
      </w:tr>
      <w:tr>
        <w:tc>
          <w:tcPr>
            <w:tcW w:type="dxa" w:w="2600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1"/>
                <w:szCs w:val="21"/>
              </w:rPr>
              <w:t xml:space="preserve">Thời lượng</w:t>
            </w:r>
          </w:p>
        </w:tc>
        <w:tc>
          <w:tcPr>
            <w:tcW w:type="dxa" w:w="6760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1–2 phút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1"/>
                <w:szCs w:val="21"/>
              </w:rPr>
              <w:t xml:space="preserve">Khuyến nghị</w:t>
            </w:r>
          </w:p>
        </w:tc>
        <w:tc>
          <w:tcPr>
            <w:tcW w:type="dxa" w:w="6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MUA</w:t>
            </w:r>
          </w:p>
        </w:tc>
      </w:tr>
      <w:tr>
        <w:tc>
          <w:tcPr>
            <w:tcW w:type="dxa" w:w="2600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1"/>
                <w:szCs w:val="21"/>
              </w:rPr>
              <w:t xml:space="preserve">Giá mục tiêu</w:t>
            </w:r>
          </w:p>
        </w:tc>
        <w:tc>
          <w:tcPr>
            <w:tcW w:type="dxa" w:w="6760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33.800 đồng (cơ sở trước pha loãng cổ tức cổ phiếu)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1"/>
                <w:szCs w:val="21"/>
              </w:rPr>
              <w:t xml:space="preserve">Giá ngày 28/07/2026</w:t>
            </w:r>
          </w:p>
        </w:tc>
        <w:tc>
          <w:tcPr>
            <w:tcW w:type="dxa" w:w="6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24.600 đồng — tiềm năng tăng khoảng 37%</w:t>
            </w:r>
          </w:p>
        </w:tc>
      </w:tr>
      <w:tr>
        <w:tc>
          <w:tcPr>
            <w:tcW w:type="dxa" w:w="2600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1"/>
                <w:szCs w:val="21"/>
              </w:rPr>
              <w:t xml:space="preserve">Slide kèm theo</w:t>
            </w:r>
          </w:p>
        </w:tc>
        <w:tc>
          <w:tcPr>
            <w:tcW w:type="dxa" w:w="6760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HotStock_VPB_31July2026.pptx (5 trang, format BC mobile)</w:t>
            </w:r>
          </w:p>
        </w:tc>
      </w:tr>
    </w:tbl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043B72"/>
          <w:sz w:val="32"/>
          <w:szCs w:val="32"/>
        </w:rPr>
        <w:t xml:space="preserve">Bản text (191 từ)</w:t>
      </w:r>
    </w:p>
    <w:p>
      <w:pPr>
        <w:spacing w:after="2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3"/>
          <w:szCs w:val="23"/>
        </w:rPr>
        <w:t xml:space="preserve">Nửa đầu năm 2026, VPBank đạt lợi nhuận trước thuế hợp nhất gần 18.900 tỷ đồng, tăng 68% so với cùng kỳ và hoàn thành khoảng 46% kế hoạch năm. Riêng quý 2 đạt 10.959 tỷ đồng, tăng 76%, cao nhất bốn năm. Tổng thu nhập hoạt động 43.400 tỷ đồng, tăng 35,2%; tổng tài sản vượt 1,5 triệu tỷ đồng; tín dụng ngân hàng mẹ tăng 24,6% từ đầu năm. Nợ xấu ngân hàng mẹ vẫn quanh 2%, hợp nhất dưới 3%.</w:t>
      </w:r>
    </w:p>
    <w:p>
      <w:pPr>
        <w:spacing w:after="2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3"/>
          <w:szCs w:val="23"/>
        </w:rPr>
        <w:t xml:space="preserve">Đáng chú ý hơn là câu chuyện vốn. VPBank sẽ nâng vốn điều lệ từ 79.339 lên 106.243 tỷ đồng, cao nhất hệ thống, qua chia cổ tức cổ phiếu 26% và chào bán riêng lẻ 624 triệu cổ phiếu cho đối tác nước ngoài trong quý 3–4. Theo Nghị định 69/2025, ngân hàng nhận chuyển giao như VPBank có thể được nới room ngoại lên 49%, từ mức 24,3% hiện tại.</w:t>
      </w:r>
    </w:p>
    <w:p>
      <w:pPr>
        <w:spacing w:after="2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3"/>
          <w:szCs w:val="23"/>
        </w:rPr>
        <w:t xml:space="preserve">Chúng tôi khuyến nghị MUA, giá mục tiêu 33.800 đồng. Lưu ý nền so sánh nửa cuối 2025 cao nên tăng trưởng sẽ chậm lại, và cổ phiếu pha loãng khoảng 21% sau chia cổ tức.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043B72"/>
          <w:sz w:val="32"/>
          <w:szCs w:val="32"/>
        </w:rPr>
        <w:t xml:space="preserve">Kèm slide — 5 trang</w:t>
      </w:r>
    </w:p>
    <w:p>
      <w:pPr>
        <w:pStyle w:val="ListParagraph"/>
        <w:numPr>
          <w:ilvl w:val="0"/>
          <w:numId w:val="2"/>
        </w:numPr>
        <w:spacing w:after="110" w:line="288"/>
      </w:pPr>
      <w:r>
        <w:rPr>
          <w:rFonts w:ascii="Calibri" w:cs="Calibri" w:eastAsia="Calibri" w:hAnsi="Calibri"/>
          <w:sz w:val="21"/>
          <w:szCs w:val="21"/>
        </w:rPr>
        <w:t xml:space="preserve">Bìa — Ngân hàng VPBank (HOSE: VPB), "Lãi kỷ lục, chờ câu chuyện tăng vốn", MUA / giá mục tiêu 33.800 (+37,4%)</w:t>
      </w:r>
    </w:p>
    <w:p>
      <w:pPr>
        <w:pStyle w:val="ListParagraph"/>
        <w:numPr>
          <w:ilvl w:val="0"/>
          <w:numId w:val="2"/>
        </w:numPr>
        <w:spacing w:after="110" w:line="288"/>
      </w:pPr>
      <w:r>
        <w:rPr>
          <w:rFonts w:ascii="Calibri" w:cs="Calibri" w:eastAsia="Calibri" w:hAnsi="Calibri"/>
          <w:sz w:val="21"/>
          <w:szCs w:val="21"/>
        </w:rPr>
        <w:t xml:space="preserve">Điểm nhấn — KQKD 1H26 · Tăng vốn &amp; room ngoại · Định giá &amp; rủi ro</w:t>
      </w:r>
    </w:p>
    <w:p>
      <w:pPr>
        <w:pStyle w:val="ListParagraph"/>
        <w:numPr>
          <w:ilvl w:val="0"/>
          <w:numId w:val="2"/>
        </w:numPr>
        <w:spacing w:after="110" w:line="288"/>
      </w:pPr>
      <w:r>
        <w:rPr>
          <w:rFonts w:ascii="Calibri" w:cs="Calibri" w:eastAsia="Calibri" w:hAnsi="Calibri"/>
          <w:sz w:val="21"/>
          <w:szCs w:val="21"/>
        </w:rPr>
        <w:t xml:space="preserve">Biểu đồ 1 — LNTT hợp nhất theo quý, 1Q25–2Q26 (2025 màu cam, 2026 màu xanh navy)</w:t>
      </w:r>
    </w:p>
    <w:p>
      <w:pPr>
        <w:pStyle w:val="ListParagraph"/>
        <w:numPr>
          <w:ilvl w:val="0"/>
          <w:numId w:val="2"/>
        </w:numPr>
        <w:spacing w:after="110" w:line="288"/>
      </w:pPr>
      <w:r>
        <w:rPr>
          <w:rFonts w:ascii="Calibri" w:cs="Calibri" w:eastAsia="Calibri" w:hAnsi="Calibri"/>
          <w:sz w:val="21"/>
          <w:szCs w:val="21"/>
        </w:rPr>
        <w:t xml:space="preserve">Biểu đồ 2 — LNTT theo nửa năm: 1H25, 2H25, 1H26 và mức 2H26 cần đạt để hoàn thành kế hoạch</w:t>
      </w:r>
    </w:p>
    <w:p>
      <w:pPr>
        <w:pStyle w:val="ListParagraph"/>
        <w:numPr>
          <w:ilvl w:val="0"/>
          <w:numId w:val="2"/>
        </w:numPr>
        <w:spacing w:after="110" w:line="288"/>
      </w:pPr>
      <w:r>
        <w:rPr>
          <w:rFonts w:ascii="Calibri" w:cs="Calibri" w:eastAsia="Calibri" w:hAnsi="Calibri"/>
          <w:sz w:val="21"/>
          <w:szCs w:val="21"/>
        </w:rPr>
        <w:t xml:space="preserve">Phụ lục — tuyên bố miễn trừ trách nhiệm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043B72"/>
          <w:sz w:val="32"/>
          <w:szCs w:val="32"/>
        </w:rPr>
        <w:t xml:space="preserve">Lưu ý trước khi quay</w:t>
      </w:r>
    </w:p>
    <w:p>
      <w:pPr>
        <w:pStyle w:val="ListParagraph"/>
        <w:numPr>
          <w:ilvl w:val="0"/>
          <w:numId w:val="3"/>
        </w:numPr>
        <w:spacing w:after="110" w:line="28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Giá 24.600 đồng </w:t>
      </w:r>
      <w:r>
        <w:rPr>
          <w:rFonts w:ascii="Calibri" w:cs="Calibri" w:eastAsia="Calibri" w:hAnsi="Calibri"/>
          <w:sz w:val="21"/>
          <w:szCs w:val="21"/>
        </w:rPr>
        <w:t xml:space="preserve">lấy từ nguồn tin ngày 28/07, không phải từ terminal. Cập nhật lại giá và tiềm năng tăng vào ngày quay.</w:t>
      </w:r>
    </w:p>
    <w:p>
      <w:pPr>
        <w:pStyle w:val="ListParagraph"/>
        <w:numPr>
          <w:ilvl w:val="0"/>
          <w:numId w:val="3"/>
        </w:numPr>
        <w:spacing w:after="110" w:line="28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Giá mục tiêu 33.800 đồng là cơ sở trước pha loãng </w:t>
      </w:r>
      <w:r>
        <w:rPr>
          <w:rFonts w:ascii="Calibri" w:cs="Calibri" w:eastAsia="Calibri" w:hAnsi="Calibri"/>
          <w:sz w:val="21"/>
          <w:szCs w:val="21"/>
        </w:rPr>
        <w:t xml:space="preserve">cổ tức cổ phiếu 26,04% (chưa thực hiện). Sau pha loãng tương đương khoảng 26.800 đồng.</w:t>
      </w:r>
    </w:p>
    <w:p>
      <w:pPr>
        <w:pStyle w:val="ListParagraph"/>
        <w:numPr>
          <w:ilvl w:val="0"/>
          <w:numId w:val="3"/>
        </w:numPr>
        <w:spacing w:after="110" w:line="288"/>
      </w:pPr>
      <w:r>
        <w:rPr>
          <w:rFonts w:ascii="Calibri" w:cs="Calibri" w:eastAsia="Calibri" w:hAnsi="Calibri"/>
          <w:sz w:val="21"/>
          <w:szCs w:val="21"/>
        </w:rPr>
        <w:t xml:space="preserve">Cột Q3/25 và Q4/25 ở biểu đồ 1, cùng cột 1H25 và 2H25 ở biểu đồ 2, được suy ra từ số liệu lũy kế 9T/25 (20.400 tỷ) và cả năm 2025 (30.600 tỷ) — đã ghi chú trên slide.</w:t>
      </w:r>
    </w:p>
    <w:p>
      <w:pPr>
        <w:pStyle w:val="ListParagraph"/>
        <w:numPr>
          <w:ilvl w:val="0"/>
          <w:numId w:val="3"/>
        </w:numPr>
        <w:spacing w:after="110" w:line="288"/>
      </w:pPr>
      <w:r>
        <w:rPr>
          <w:rFonts w:ascii="Calibri" w:cs="Calibri" w:eastAsia="Calibri" w:hAnsi="Calibri"/>
          <w:sz w:val="21"/>
          <w:szCs w:val="21"/>
        </w:rPr>
        <w:t xml:space="preserve">Cột "2H26 cần để đạt KH" (22.443 tỷ, +16% so cùng kỳ) là mức cần đạt để hoàn thành kế hoạch 41.323 tỷ, không phải dự phóng của MAS.</w:t>
      </w:r>
    </w:p>
    <w:p>
      <w:pPr>
        <w:pStyle w:val="ListParagraph"/>
        <w:numPr>
          <w:ilvl w:val="0"/>
          <w:numId w:val="3"/>
        </w:numPr>
        <w:spacing w:after="110" w:line="28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Đối tác nước ngoài trong đợt phát hành riêng lẻ chưa được công bố tên </w:t>
      </w:r>
      <w:r>
        <w:rPr>
          <w:rFonts w:ascii="Calibri" w:cs="Calibri" w:eastAsia="Calibri" w:hAnsi="Calibri"/>
          <w:sz w:val="21"/>
          <w:szCs w:val="21"/>
        </w:rPr>
        <w:t xml:space="preserve">— không nêu tên cụ thể.</w:t>
      </w:r>
    </w:p>
    <w:p>
      <w:pPr>
        <w:pStyle w:val="ListParagraph"/>
        <w:numPr>
          <w:ilvl w:val="0"/>
          <w:numId w:val="3"/>
        </w:numPr>
        <w:spacing w:after="110" w:line="288"/>
      </w:pPr>
      <w:r>
        <w:rPr>
          <w:rFonts w:ascii="Calibri" w:cs="Calibri" w:eastAsia="Calibri" w:hAnsi="Calibri"/>
          <w:sz w:val="21"/>
          <w:szCs w:val="21"/>
        </w:rPr>
        <w:t xml:space="preserve">Dự phóng LNST-CĐTS 2026F của MAS là 29.056 tỷ đồng, hàm ý LNTT thấp hơn hẳn kế hoạch 41.323 tỷ trong khi 1H26 đã đạt ~46% kế hoạch. Mô hình VPB có khả năng cần nâng dự phóng — chưa điều chỉnh trong bản này.</w:t>
      </w:r>
    </w:p>
    <w:p>
      <w:pPr>
        <w:pStyle w:val="ListParagraph"/>
        <w:numPr>
          <w:ilvl w:val="0"/>
          <w:numId w:val="3"/>
        </w:numPr>
        <w:spacing w:after="110" w:line="288"/>
      </w:pPr>
      <w:r>
        <w:rPr>
          <w:rFonts w:ascii="Calibri" w:cs="Calibri" w:eastAsia="Calibri" w:hAnsi="Calibri"/>
          <w:sz w:val="21"/>
          <w:szCs w:val="21"/>
        </w:rPr>
        <w:t xml:space="preserve">Chi tiết nguồn từng số liệu: sheet "VPB HotStock" trong INTERNAL_Sources_and_Assumptions_Aug26.xlsx.</w:t>
      </w:r>
    </w:p>
    <w:p>
      <w:pPr>
        <w:pBdr>
          <w:top w:val="single" w:color="D9D9D9" w:sz="4" w:space="8"/>
        </w:pBdr>
        <w:spacing w:before="3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Nguồn số liệu: công bố thông tin của VPBank (KQKD Q1/26, 1H26, cả năm 2025), tài liệu ĐHĐCĐ 22/04/2026, Nghị định 69/2025/NĐ-CP, và dự phóng của MAS.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HotStock VPB 31.07.2026</dc:title>
  <dc:creator>Mirae Asset Securities (Vietnam) — Research</dc:creator>
  <cp:lastModifiedBy>Un-named</cp:lastModifiedBy>
  <cp:revision>1</cp:revision>
  <dcterms:created xsi:type="dcterms:W3CDTF">2026-07-30T06:38:35.289Z</dcterms:created>
  <dcterms:modified xsi:type="dcterms:W3CDTF">2026-07-30T06:38:35.289Z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