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59" w:lineRule="auto"/>
      </w:pPr>
      <w:r>
        <w:rPr>
          <w:rFonts w:ascii="Noto Sans" w:cs="Noto Sans" w:eastAsia="Noto Sans" w:hAnsi="Noto Sans"/>
          <w:b w:val="false"/>
          <w:bCs w:val="false"/>
          <w:sz w:val="20"/>
          <w:szCs w:val="20"/>
        </w:rPr>
        <w:t xml:space="preserve">Lợi nhuận cao nhất bốn năm… nhưng câu chuyện lớn nhất của VPBank lại nằm ở vốn?</w:t>
      </w:r>
    </w:p>
    <w:p>
      <w:pPr>
        <w:spacing w:after="160" w:line="259" w:lineRule="auto"/>
      </w:pPr>
      <w:r>
        <w:rPr>
          <w:rFonts w:ascii="Noto Sans" w:cs="Noto Sans" w:eastAsia="Noto Sans" w:hAnsi="Noto Sans"/>
          <w:b/>
          <w:bCs/>
          <w:sz w:val="20"/>
          <w:szCs w:val="20"/>
        </w:rPr>
        <w:t xml:space="preserve">[Mở – kể chuyện]</w:t>
      </w:r>
    </w:p>
    <w:p>
      <w:pPr>
        <w:spacing w:after="160" w:line="259" w:lineRule="auto"/>
      </w:pPr>
      <w:r>
        <w:rPr>
          <w:rFonts w:ascii="Noto Sans" w:cs="Noto Sans" w:eastAsia="Noto Sans" w:hAnsi="Noto Sans"/>
          <w:b/>
          <w:bCs/>
          <w:sz w:val="20"/>
          <w:szCs w:val="20"/>
        </w:rPr>
        <w:t xml:space="preserve">Mùa kết quả kinh doanh bán niên 2026 phân hóa rất mạnh. NIM toàn ngành vẫn bị bào mòn bởi chi phí huy động, nợ xấu chưa hạ nhiệt, và không ít ngân hàng báo lãi đi lùi.</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Nhưng giữa bức tranh đó vẫn có những cái tên bứt hẳn lên. Và lần này, người dẫn đầu về tốc độ tăng trưởng không phải một ngân hàng quốc doanh, mà là một ngân hàng tư nhân: VPBank.</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[Bối cảnh – setup]</w:t>
      </w:r>
    </w:p>
    <w:p>
      <w:pPr>
        <w:spacing w:after="160" w:line="259" w:lineRule="auto"/>
      </w:pPr>
      <w:r>
        <w:rPr>
          <w:rFonts w:ascii="Noto Sans" w:cs="Noto Sans" w:eastAsia="Noto Sans" w:hAnsi="Noto Sans"/>
          <w:b w:val="false"/>
          <w:bCs w:val="false"/>
          <w:sz w:val="20"/>
          <w:szCs w:val="20"/>
        </w:rPr>
        <w:t xml:space="preserve">Việt Nam đang đặt mục tiêu tăng trưởng GDP 10%. Để dòng vốn chảy đủ mạnh cho mục tiêu đó, tín dụng toàn hệ thống phải mở rộng nhanh — và ngân hàng nào muốn cho vay nhiều thì trước hết phải có đủ vốn.</w:t>
      </w:r>
    </w:p>
    <w:p>
      <w:pPr>
        <w:spacing w:after="160" w:line="259" w:lineRule="auto"/>
      </w:pPr>
      <w:r>
        <w:rPr>
          <w:rFonts w:ascii="Noto Sans" w:cs="Noto Sans" w:eastAsia="Noto Sans" w:hAnsi="Noto Sans"/>
          <w:b w:val="false"/>
          <w:bCs w:val="false"/>
          <w:sz w:val="20"/>
          <w:szCs w:val="20"/>
        </w:rPr>
        <w:t xml:space="preserve">Đó là lý do 2026 trở thành năm tăng vốn của ngành ngân hàng. Riêng với nhóm nhận chuyển giao bắt buộc các ngân hàng yếu kém, Nghị định 69/2025 còn mở thêm một cánh cửa mà phần lớn ngành không có: room ngoại được nới lên tối đa 49%, thay vì 30%.</w:t>
      </w:r>
    </w:p>
    <w:p>
      <w:pPr>
        <w:spacing w:after="160" w:line="259" w:lineRule="auto"/>
      </w:pPr>
      <w:r>
        <w:rPr>
          <w:rFonts w:ascii="Noto Sans" w:cs="Noto Sans" w:eastAsia="Noto Sans" w:hAnsi="Noto Sans"/>
          <w:b w:val="false"/>
          <w:bCs w:val="false"/>
          <w:sz w:val="20"/>
          <w:szCs w:val="20"/>
        </w:rPr>
        <w:t xml:space="preserve">VPBank nằm đúng giao điểm của hai câu chuyện này.</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1 – kết quả kinh doanh và chất lượng tài sản]</w:t>
      </w:r>
    </w:p>
    <w:p>
      <w:pPr>
        <w:spacing w:after="160" w:line="259" w:lineRule="auto"/>
      </w:pPr>
      <w:r>
        <w:rPr>
          <w:rFonts w:ascii="Noto Sans" w:cs="Noto Sans" w:eastAsia="Noto Sans" w:hAnsi="Noto Sans"/>
          <w:b w:val="false"/>
          <w:bCs w:val="false"/>
          <w:sz w:val="20"/>
          <w:szCs w:val="20"/>
        </w:rPr>
        <w:t xml:space="preserve">Trước hết là con số:</w:t>
      </w:r>
    </w:p>
    <w:p>
      <w:pPr>
        <w:pStyle w:val="ListParagraph"/>
        <w:numPr>
          <w:ilvl w:val="0"/>
          <w:numId w:val="2"/>
        </w:numPr>
        <w:spacing w:after="160" w:line="259" w:lineRule="auto"/>
      </w:pPr>
      <w:r>
        <w:rPr>
          <w:rFonts w:ascii="Noto Sans" w:cs="Noto Sans" w:eastAsia="Noto Sans" w:hAnsi="Noto Sans"/>
          <w:b/>
          <w:bCs/>
          <w:sz w:val="20"/>
          <w:szCs w:val="20"/>
        </w:rPr>
        <w:t xml:space="preserve">Lợi nhuận trước thuế hợp nhất nửa đầu năm đạt gần 18,900 tỷ đồng, tăng 68% so với cùng kỳ và đã hoàn thành khoảng 46% kế hoạch năm. Riêng quý 2 đạt 10,959 tỷ — mức cao nhất trong bốn năm. Tổng thu nhập hoạt động 43,400 tỷ, tăng 35.2%.</w:t>
      </w:r>
    </w:p>
    <w:p>
      <w:pPr>
        <w:spacing w:after="160" w:line="259" w:lineRule="auto"/>
      </w:pPr>
      <w:r>
        <w:rPr>
          <w:rFonts w:ascii="Noto Sans" w:cs="Noto Sans" w:eastAsia="Noto Sans" w:hAnsi="Noto Sans"/>
          <w:b w:val="false"/>
          <w:bCs w:val="false"/>
          <w:sz w:val="20"/>
          <w:szCs w:val="20"/>
        </w:rPr>
        <w:t xml:space="preserve">Quy mô mở rộng tương ứng, nhưng chưa đánh đổi bằng chất lượng tài sản:</w:t>
      </w:r>
    </w:p>
    <w:p>
      <w:pPr>
        <w:pStyle w:val="ListParagraph"/>
        <w:numPr>
          <w:ilvl w:val="0"/>
          <w:numId w:val="2"/>
        </w:numPr>
        <w:spacing w:after="160" w:line="259" w:lineRule="auto"/>
      </w:pPr>
      <w:r>
        <w:rPr>
          <w:rFonts w:ascii="Noto Sans" w:cs="Noto Sans" w:eastAsia="Noto Sans" w:hAnsi="Noto Sans"/>
          <w:b/>
          <w:bCs/>
          <w:sz w:val="20"/>
          <w:szCs w:val="20"/>
        </w:rPr>
        <w:t xml:space="preserve">Tổng tài sản vượt 1.5 triệu tỷ đồng, tăng 19.2% so với đầu năm. Tín dụng ngân hàng mẹ tăng 24.6% từ đầu năm, thuộc nhóm cao nhất hệ thống. Trong khi đó nợ xấu ngân hàng mẹ theo Thông tư 31 vẫn quanh 2%, hợp nhất dưới 3%.</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2 – câu chuyện tăng vốn]</w:t>
      </w:r>
    </w:p>
    <w:p>
      <w:pPr>
        <w:spacing w:after="160" w:line="259" w:lineRule="auto"/>
      </w:pPr>
      <w:r>
        <w:rPr>
          <w:rFonts w:ascii="Noto Sans" w:cs="Noto Sans" w:eastAsia="Noto Sans" w:hAnsi="Noto Sans"/>
          <w:b w:val="false"/>
          <w:bCs w:val="false"/>
          <w:sz w:val="20"/>
          <w:szCs w:val="20"/>
        </w:rPr>
        <w:t xml:space="preserve">Thứ hai, và đây mới là chất xúc tác ngắn hạn: câu chuyện tăng vốn.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VPBank sẽ nâng vốn điều lệ từ 79,339 lên 106,243 tỷ đồng — mức cao nhất hệ thống ngân hàng. Kế hoạch chia làm hai bước, đều dự kiến trong quý 3 và quý 4 năm nay.</w:t>
      </w:r>
    </w:p>
    <w:p>
      <w:pPr>
        <w:spacing w:after="160" w:line="259" w:lineRule="auto"/>
      </w:pPr>
      <w:r>
        <w:rPr>
          <w:rFonts w:ascii="Noto Sans" w:cs="Noto Sans" w:eastAsia="Noto Sans" w:hAnsi="Noto Sans"/>
          <w:sz w:val="20"/>
          <w:szCs w:val="20"/>
        </w:rPr>
        <w:t xml:space="preserve"/>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một, chia cổ tức bằng cổ phiếu tỷ lệ 26.04%, tương đương khoảng 2.06 tỷ cổ phiếu, lấy từ lợi nhuận sau thuế giữ lại.</w:t>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hai, chào bán riêng lẻ 624 triệu cổ phiếu cho đối tác nước ngoài. Nếu hoàn tất, sở hữu nước ngoài có thể lên khoảng 34%.</w:t>
      </w:r>
    </w:p>
    <w:p>
      <w:pPr>
        <w:spacing w:after="160" w:line="259" w:lineRule="auto"/>
      </w:pPr>
      <w:r>
        <w:rPr>
          <w:rFonts w:ascii="Noto Sans" w:cs="Noto Sans" w:eastAsia="Noto Sans" w:hAnsi="Noto Sans"/>
          <w:b w:val="false"/>
          <w:bCs w:val="false"/>
          <w:sz w:val="20"/>
          <w:szCs w:val="20"/>
        </w:rPr>
        <w:t xml:space="preserve">Và đây là điểm đáng chú ý nhất: vì đã nhận chuyển giao GPBank, trần room ngoại của VPBank có thể được nới tới 49% theo Nghị định 69. Hiện sở hữu nước ngoài mới ở mức 24.3% — dư địa còn rất rộng.</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[Chốt]</w:t>
      </w:r>
    </w:p>
    <w:p>
      <w:pPr>
        <w:spacing w:after="160" w:line="259" w:lineRule="auto"/>
      </w:pPr>
      <w:r>
        <w:rPr>
          <w:rFonts w:ascii="Noto Sans" w:cs="Noto Sans" w:eastAsia="Noto Sans" w:hAnsi="Noto Sans"/>
          <w:b w:val="false"/>
          <w:bCs w:val="false"/>
          <w:sz w:val="20"/>
          <w:szCs w:val="20"/>
        </w:rPr>
        <w:t xml:space="preserve">Chúng tôi khuyến nghị MUA với VPB, giá mục tiêu 33,800 đồng.</w:t>
      </w:r>
    </w:p>
    <w:p>
      <w:pPr>
        <w:spacing w:after="160" w:line="259" w:lineRule="auto"/>
      </w:pPr>
      <w:r>
        <w:rPr>
          <w:rFonts w:ascii="Noto Sans" w:cs="Noto Sans" w:eastAsia="Noto Sans" w:hAnsi="Noto Sans"/>
          <w:b w:val="false"/>
          <w:bCs w:val="false"/>
          <w:sz w:val="20"/>
          <w:szCs w:val="20"/>
        </w:rPr>
        <w:t xml:space="preserve">Nhưng cần nói thẳng hai điều. Thứ nhất, nền so sánh nửa cuối 2025 rất cao, nên tốc độ tăng trưởng công bố sẽ chậm lại rõ trong nửa cuối năm nay — thực tế ngân hàng chỉ cần tăng khoảng 16% là đủ hoàn thành kế hoạch. Thứ hai, cổ phiếu sẽ pha loãng khoảng 21% sau khi chia cổ tức bằng cổ phiếu.</w:t>
      </w:r>
    </w:p>
    <w:p>
      <w:pPr>
        <w:spacing w:after="160" w:line="259" w:lineRule="auto"/>
      </w:pPr>
      <w:r>
        <w:rPr>
          <w:rFonts w:ascii="Noto Sans" w:cs="Noto Sans" w:eastAsia="Noto Sans" w:hAnsi="Noto Sans"/>
          <w:b w:val="false"/>
          <w:bCs w:val="false"/>
          <w:sz w:val="20"/>
          <w:szCs w:val="20"/>
        </w:rPr>
        <w:t xml:space="preserve">Đây là câu chuyện tăng trưởng đi kèm chất xúc tác chính sách — không phải một cơ hội định giá rẻ.</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HotStock VPB</dc:title>
  <dc:creator>Mirae Asset Securities (Vietnam) — Research</dc:creator>
  <cp:lastModifiedBy>Un-named</cp:lastModifiedBy>
  <cp:revision>1</cp:revision>
  <dcterms:created xsi:type="dcterms:W3CDTF">2026-07-30T06:51:26.707Z</dcterms:created>
  <dcterms:modified xsi:type="dcterms:W3CDTF">2026-07-30T06:51:26.721Z</dcterms:modified>
</cp:coreProperties>
</file>

<file path=docProps/custom.xml><?xml version="1.0" encoding="utf-8"?>
<Properties xmlns="http://schemas.openxmlformats.org/officeDocument/2006/custom-properties" xmlns:vt="http://schemas.openxmlformats.org/officeDocument/2006/docPropsVTypes"/>
</file>