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0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3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796" w:type="dxa"/>
                    <w:tblCellSpacing w:w="0" w:type="dxa"/>
                    <w:tblInd w:w="135" w:type="dxa"/>
                    <w:tblCellMar>
                      <w:left w:w="0" w:type="dxa"/>
                      <w:right w:w="0" w:type="dxa"/>
                    </w:tblCellMar>
                    <w:tblLook w:val="04A0" w:firstRow="1" w:lastRow="0" w:firstColumn="1" w:lastColumn="0" w:noHBand="0" w:noVBand="1"/>
                  </w:tblPr>
                  <w:tblGrid>
                    <w:gridCol w:w="10796"/>
                  </w:tblGrid>
                  <w:tr w:rsidR="0068673E" w:rsidRPr="00037A23" w14:paraId="3F167398" w14:textId="77777777" w:rsidTr="00F15AA6">
                    <w:trPr>
                      <w:trHeight w:val="2160"/>
                      <w:tblCellSpacing w:w="0" w:type="dxa"/>
                    </w:trPr>
                    <w:tc>
                      <w:tcPr>
                        <w:tcW w:w="1079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7216"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 xml:space="preserve">Good </w:t>
                        </w:r>
                        <w:proofErr w:type="gramStart"/>
                        <w:r w:rsidRPr="00C01755">
                          <w:rPr>
                            <w:rFonts w:ascii="Noto Sans" w:hAnsi="Noto Sans" w:cs="Noto Sans"/>
                            <w:b/>
                            <w:bCs/>
                            <w:color w:val="FFFFFF"/>
                            <w:sz w:val="32"/>
                            <w:szCs w:val="32"/>
                          </w:rPr>
                          <w:t>Morning</w:t>
                        </w:r>
                        <w:proofErr w:type="gramEnd"/>
                        <w:r w:rsidRPr="00C01755">
                          <w:rPr>
                            <w:rFonts w:ascii="Noto Sans" w:hAnsi="Noto Sans" w:cs="Noto Sans"/>
                            <w:b/>
                            <w:bCs/>
                            <w:color w:val="FFFFFF"/>
                            <w:sz w:val="32"/>
                            <w:szCs w:val="32"/>
                          </w:rPr>
                          <w:t xml:space="preserve"> Vietnam</w:t>
                        </w:r>
                      </w:p>
                    </w:tc>
                  </w:tr>
                  <w:tr w:rsidR="0068673E" w:rsidRPr="00037A23" w14:paraId="264EBD13" w14:textId="77777777" w:rsidTr="00F15AA6">
                    <w:trPr>
                      <w:trHeight w:val="175"/>
                      <w:tblCellSpacing w:w="0" w:type="dxa"/>
                    </w:trPr>
                    <w:tc>
                      <w:tcPr>
                        <w:tcW w:w="1079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F15AA6">
                    <w:trPr>
                      <w:trHeight w:val="227"/>
                      <w:tblCellSpacing w:w="0" w:type="dxa"/>
                    </w:trPr>
                    <w:tc>
                      <w:tcPr>
                        <w:tcW w:w="1079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F15AA6">
                    <w:trPr>
                      <w:trHeight w:val="1276"/>
                      <w:tblCellSpacing w:w="0" w:type="dxa"/>
                    </w:trPr>
                    <w:tc>
                      <w:tcPr>
                        <w:tcW w:w="10796" w:type="dxa"/>
                        <w:vAlign w:val="center"/>
                        <w:hideMark/>
                      </w:tcPr>
                      <w:p w14:paraId="560150A2" w14:textId="77777777" w:rsidR="0079169E" w:rsidRDefault="0079169E" w:rsidP="0079169E">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79169E">
                          <w:rPr>
                            <w:rFonts w:ascii="Noto Sans" w:eastAsia="Times New Roman" w:hAnsi="Noto Sans" w:cs="Noto Sans"/>
                            <w:b/>
                            <w:bCs/>
                            <w:color w:val="1F3864" w:themeColor="accent5" w:themeShade="80"/>
                          </w:rPr>
                          <w:t>Profit-taking pressured the rally</w:t>
                        </w:r>
                      </w:p>
                      <w:p w14:paraId="617FE598" w14:textId="7032555A" w:rsidR="0079169E" w:rsidRPr="0079169E" w:rsidRDefault="0079169E" w:rsidP="0079169E">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79169E">
                          <w:rPr>
                            <w:rFonts w:ascii="Noto Sans" w:hAnsi="Noto Sans" w:cs="Noto Sans"/>
                            <w:lang w:val="en-GB"/>
                          </w:rPr>
                          <w:t>After two strong sessions, the VN-Index lost momentum as it approached the 1,780-1,800 resistance zone. It opened firmly at 1,784.9pts (+1.1% DoD) and pushed to an intraday high of 1,790.9pts (+0.8% DoD) within the first hour, but profit-taking broadened and the index ground lower through the morning. Selling intensified into the close, dragging it to a low of 1,769.4pts (+0.6% DoD) and briefly below the 1,770 handle, before bargain hunting in the closing auction left the VN-Index at 1,776.5pts (-0.04% DoD), down 0.8 points. Banks surrendered almost all of their leadership, with only KLB (+5.8%), TPB (+1.4%) and OCB (+0.5%) closing higher. Liquidity continued to improve even as the index slipped, with total trading value and volume rising to VND20,440bn (+12.6% DoD) and 759mn shares (+10.6% DoD), indicating money is still rotating within the market.</w:t>
                        </w:r>
                        <w:proofErr w:type="gramStart"/>
                        <w:r w:rsidRPr="0079169E">
                          <w:rPr>
                            <w:rFonts w:ascii="Noto Sans" w:hAnsi="Noto Sans" w:cs="Noto Sans"/>
                            <w:lang w:val="en-GB"/>
                          </w:rPr>
                        </w:r>
                        <w:proofErr w:type="gramEnd"/>
                        <w:r w:rsidRPr="0079169E">
                          <w:rPr>
                            <w:rFonts w:ascii="Noto Sans" w:hAnsi="Noto Sans" w:cs="Noto Sans"/>
                            <w:lang w:val="en-GB"/>
                          </w:rPr>
                        </w:r>
                      </w:p>
                      <w:p w14:paraId="0297E23F" w14:textId="77777777" w:rsidR="0079169E" w:rsidRPr="0079169E" w:rsidRDefault="0079169E" w:rsidP="0079169E">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79169E">
                          <w:rPr>
                            <w:rFonts w:ascii="Noto Sans" w:hAnsi="Noto Sans" w:cs="Noto Sans"/>
                            <w:lang w:val="en-GB"/>
                          </w:rPr>
                          <w:t>Within the VN30 basket support came from VIC (+0.9% DoD), GAS (+0.9%), BSR (+0.6%), VRE (+0.2%), and MWG (+0.1%), while the drag sat in consumer staples and technology, with TCX (-2.6% DoD), MSN (-1.8%), FPT (-1.7%), SAB (-1.6%) and VNM (-1.5%) each falling further than any gainer rose</w:t>
                        </w:r>
                      </w:p>
                      <w:p w14:paraId="5E56818F" w14:textId="1E00D0B2" w:rsidR="001867DE" w:rsidRDefault="0079169E" w:rsidP="0079169E">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79169E">
                          <w:rPr>
                            <w:rFonts w:ascii="Noto Sans" w:hAnsi="Noto Sans" w:cs="Noto Sans"/>
                            <w:lang w:val="en-GB"/>
                          </w:rPr>
                          <w:t>Foreign investors were net buyers, recording VND497bn in net inflows, with VND3,145bn in gross buying (+14% DoD) and VND2,648bn in gross selling (+41% DoD). Accordingly:</w:t>
                        </w:r>
                        <w:r w:rsidR="001453A5" w:rsidRPr="001453A5">
                          <w:rPr>
                            <w:rFonts w:ascii="Noto Sans" w:hAnsi="Noto Sans" w:cs="Noto Sans"/>
                            <w:lang w:val="en-GB"/>
                          </w:rPr>
                        </w:r>
                        <w:r w:rsidR="001453A5">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071F6D0A" w14:textId="0669A2D7" w:rsidR="001453A5"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79169E">
                          <w:rPr>
                            <w:rFonts w:ascii="Noto Sans" w:hAnsi="Noto Sans" w:cs="Noto Sans"/>
                          </w:rPr>
                          <w:t>VHM (VND384bn), VIC (VND148bn), MBB (VND123bn), PNJ (VND110bn), CTG (VND74bn).</w:t>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p>
                      <w:p w14:paraId="74B11E77" w14:textId="4373680C" w:rsidR="001453A5"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79169E">
                          <w:rPr>
                            <w:rFonts w:ascii="Noto Sans" w:hAnsi="Noto Sans" w:cs="Noto Sans"/>
                          </w:rPr>
                          <w:t>VPB (VND99bn), VNM (VND72bn), TCX (VND67bn), VIB (VND48bn), MSN (VND40bn).</w:t>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sidRPr="001453A5">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r w:rsidR="0079169E">
                          <w:rPr>
                            <w:rFonts w:ascii="Noto Sans" w:hAnsi="Noto Sans" w:cs="Noto Sans"/>
                          </w:rPr>
                        </w:r>
                        <w:r w:rsidR="001453A5" w:rsidRPr="001453A5">
                          <w:rPr>
                            <w:rFonts w:ascii="Noto Sans" w:hAnsi="Noto Sans" w:cs="Noto Sans"/>
                          </w:rPr>
                        </w:r>
                      </w:p>
                      <w:p w14:paraId="48CD43AB" w14:textId="61938D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59941896" w14:textId="4FC3CED8" w:rsidR="00452767" w:rsidRDefault="00443D6B"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7F6B3C" w:rsidRPr="007F6B3C">
                                <w:rPr>
                                  <w:rFonts w:ascii="Noto Sans" w:hAnsi="Noto Sans" w:cs="Noto Sans"/>
                                  <w:b/>
                                  <w:bCs/>
                                </w:rPr>
                                <w:t>Master plan on development of research centers serving strategic technologies approved</w:t>
                              </w:r>
                              <w:proofErr w:type="spellStart"/>
                              <w:r w:rsidR="007F6B3C" w:rsidRPr="007F6B3C">
                                <w:rPr>
                                  <w:rFonts w:ascii="Noto Sans" w:hAnsi="Noto Sans" w:cs="Noto Sans"/>
                                  <w:b/>
                                  <w:bCs/>
                                </w:rPr>
                              </w:r>
                              <w:proofErr w:type="spellEnd"/>
                              <w:r w:rsidR="007F6B3C" w:rsidRPr="007F6B3C">
                                <w:rPr>
                                  <w:rFonts w:ascii="Noto Sans" w:hAnsi="Noto Sans" w:cs="Noto Sans"/>
                                  <w:b/>
                                  <w:bCs/>
                                </w:rPr>
                              </w:r>
                            </w:p>
                            <w:p w14:paraId="6527DED4" w14:textId="6FE32307"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7F6B3C" w:rsidRPr="007F6B3C">
                                <w:rPr>
                                  <w:rFonts w:ascii="Noto Sans" w:hAnsi="Noto Sans" w:cs="Noto Sans"/>
                                  <w:b/>
                                  <w:bCs/>
                                </w:rPr>
                                <w:t>Wood sector aims for US$19 bln export goal</w:t>
                              </w:r>
                            </w:p>
                            <w:p w14:paraId="7716EC82" w14:textId="278B68D6"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7F6B3C" w:rsidRPr="007F6B3C">
                                <w:rPr>
                                  <w:rFonts w:ascii="Noto Sans" w:hAnsi="Noto Sans" w:cs="Noto Sans"/>
                                  <w:b/>
                                  <w:bCs/>
                                </w:rPr>
                                <w:t>Taiwan (China) opens market to 178 Vietnamese plant products</w:t>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6D27322A"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 xml:space="preserve">Please see in the link for the </w:t>
                                </w:r>
                                <w:r w:rsidRPr="00785DF2">
                                  <w:rPr>
                                    <w:rStyle w:val="Hyperlink"/>
                                    <w:rFonts w:ascii="Noto Sans" w:hAnsi="Noto Sans" w:cs="Noto Sans"/>
                                    <w:b/>
                                    <w:bCs/>
                                    <w:i/>
                                    <w:iCs/>
                                    <w:sz w:val="22"/>
                                    <w:szCs w:val="22"/>
                                  </w:rPr>
                                  <w:t>f</w:t>
                                </w:r>
                                <w:r w:rsidRPr="00785DF2">
                                  <w:rPr>
                                    <w:rStyle w:val="Hyperlink"/>
                                    <w:rFonts w:ascii="Noto Sans" w:hAnsi="Noto Sans" w:cs="Noto Sans"/>
                                    <w:b/>
                                    <w:bCs/>
                                    <w:i/>
                                    <w:iCs/>
                                    <w:sz w:val="22"/>
                                    <w:szCs w:val="22"/>
                                  </w:rPr>
                                  <w:t>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F15AA6">
                    <w:trPr>
                      <w:trHeight w:val="276"/>
                      <w:tblCellSpacing w:w="0" w:type="dxa"/>
                    </w:trPr>
                    <w:tc>
                      <w:tcPr>
                        <w:tcW w:w="1079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F15AA6">
                    <w:trPr>
                      <w:trHeight w:val="153"/>
                      <w:tblCellSpacing w:w="0" w:type="dxa"/>
                    </w:trPr>
                    <w:tc>
                      <w:tcPr>
                        <w:tcW w:w="1079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71563" w14:textId="77777777" w:rsidR="005101C0" w:rsidRDefault="005101C0" w:rsidP="007327C0">
      <w:r>
        <w:separator/>
      </w:r>
    </w:p>
  </w:endnote>
  <w:endnote w:type="continuationSeparator" w:id="0">
    <w:p w14:paraId="18A36A95" w14:textId="77777777" w:rsidR="005101C0" w:rsidRDefault="005101C0" w:rsidP="007327C0">
      <w:r>
        <w:continuationSeparator/>
      </w:r>
    </w:p>
  </w:endnote>
  <w:endnote w:type="continuationNotice" w:id="1">
    <w:p w14:paraId="3E94642D" w14:textId="77777777" w:rsidR="005101C0" w:rsidRDefault="005101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5B1C4" w14:textId="77777777" w:rsidR="005101C0" w:rsidRDefault="005101C0" w:rsidP="007327C0">
      <w:r>
        <w:separator/>
      </w:r>
    </w:p>
  </w:footnote>
  <w:footnote w:type="continuationSeparator" w:id="0">
    <w:p w14:paraId="40869E26" w14:textId="77777777" w:rsidR="005101C0" w:rsidRDefault="005101C0" w:rsidP="007327C0">
      <w:r>
        <w:continuationSeparator/>
      </w:r>
    </w:p>
  </w:footnote>
  <w:footnote w:type="continuationNotice" w:id="1">
    <w:p w14:paraId="22295E1B" w14:textId="77777777" w:rsidR="005101C0" w:rsidRDefault="005101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21B1"/>
    <w:rsid w:val="00452767"/>
    <w:rsid w:val="00453282"/>
    <w:rsid w:val="0045336C"/>
    <w:rsid w:val="00455BDE"/>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8F5"/>
    <w:rsid w:val="008B0F41"/>
    <w:rsid w:val="008B17F7"/>
    <w:rsid w:val="008B1CA7"/>
    <w:rsid w:val="008B2870"/>
    <w:rsid w:val="008B3DC3"/>
    <w:rsid w:val="008B4E97"/>
    <w:rsid w:val="008B4EDA"/>
    <w:rsid w:val="008B52AE"/>
    <w:rsid w:val="008B5359"/>
    <w:rsid w:val="008B60C9"/>
    <w:rsid w:val="008B76A6"/>
    <w:rsid w:val="008B7714"/>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CC2"/>
    <w:rsid w:val="009C003E"/>
    <w:rsid w:val="009C0904"/>
    <w:rsid w:val="009C0A85"/>
    <w:rsid w:val="009C2204"/>
    <w:rsid w:val="009C33E1"/>
    <w:rsid w:val="009C449F"/>
    <w:rsid w:val="009C5522"/>
    <w:rsid w:val="009C6AE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5834725605-Daily_MAS_202608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10074</TotalTime>
  <Pages>2</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Sang Ho</cp:lastModifiedBy>
  <cp:revision>2267</cp:revision>
  <cp:lastPrinted>2024-01-30T11:51:00Z</cp:lastPrinted>
  <dcterms:created xsi:type="dcterms:W3CDTF">2018-01-29T01:41:00Z</dcterms:created>
  <dcterms:modified xsi:type="dcterms:W3CDTF">2026-08-04T09:14:00Z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