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2078" w14:textId="1D81AAA5" w:rsidR="007D145A" w:rsidRDefault="007D145A" w:rsidP="007D145A">
      <w:pPr>
        <w:rPr>
          <w:rFonts w:ascii="Noto Sans" w:hAnsi="Noto Sans" w:cs="Noto Sans"/>
          <w:b/>
          <w:bCs/>
          <w:sz w:val="20"/>
          <w:szCs w:val="20"/>
        </w:rPr>
      </w:pPr>
      <w:r>
        <w:rPr>
          <w:rFonts w:ascii="Noto Sans" w:hAnsi="Noto Sans" w:cs="Noto Sans"/>
          <w:b/>
          <w:bCs/>
          <w:sz w:val="20"/>
          <w:szCs w:val="20"/>
        </w:rPr>
        <w:t xml:space="preserve">MBB đang được định giá đúng, hay thị trường vẫn chưa trả đủ cho ngân hàng có chi phí vốn rẻ nhất hệ thống? </w:t>
      </w:r>
    </w:p>
    <w:p w14:paraId="4087754E" w14:textId="1B793AD4" w:rsidR="007D145A" w:rsidRPr="007D145A" w:rsidRDefault="007D145A" w:rsidP="007D145A">
      <w:pPr>
        <w:rPr>
          <w:rFonts w:ascii="Noto Sans" w:hAnsi="Noto Sans" w:cs="Noto Sans"/>
          <w:sz w:val="20"/>
          <w:szCs w:val="20"/>
        </w:rPr>
      </w:pPr>
      <w:r>
        <w:rPr>
          <w:rFonts w:ascii="Noto Sans" w:hAnsi="Noto Sans" w:cs="Noto Sans"/>
          <w:sz w:val="20"/>
          <w:szCs w:val="20"/>
        </w:rPr>
        <w:t xml:space="preserve">Với tỷ lệ CASA dẫn đầu toàn ngành, hạn mức tăng trưởng tín dụng thuộc nhóm cao nhất thị trường và một lộ trình tăng vốn rõ ràng, chúng tôi cho rằng MBB là một cổ phiếu rất đáng để theo dõi. Dưới đây là ba lý do chính. </w:t>
      </w:r>
    </w:p>
    <w:p w14:paraId="57BAB9C5" w14:textId="743CF160" w:rsidR="00DA05BA" w:rsidRPr="00DA05BA" w:rsidRDefault="007D145A" w:rsidP="00DA05BA">
      <w:pPr>
        <w:pStyle w:val="NormalWeb"/>
        <w:numPr>
          <w:ilvl w:val="0"/>
          <w:numId w:val="3"/>
        </w:numPr>
        <w:shd w:val="clear" w:color="auto" w:fill="FDFDFC"/>
        <w:spacing w:before="0" w:beforeAutospacing="0" w:after="0" w:afterAutospacing="0"/>
        <w:rPr>
          <w:rFonts w:ascii="Segoe UI" w:hAnsi="Segoe UI" w:cs="Segoe UI"/>
          <w:color w:val="0A0A0A"/>
          <w:sz w:val="21"/>
          <w:szCs w:val="21"/>
        </w:rPr>
      </w:pPr>
      <w:r>
        <w:rPr>
          <w:rStyle w:val="Strong"/>
          <w:rFonts w:ascii="Segoe UI" w:hAnsi="Segoe UI" w:cs="Segoe UI"/>
          <w:color w:val="0A0A0A"/>
          <w:sz w:val="21"/>
          <w:szCs w:val="21"/>
        </w:rPr>
        <w:t>Thứ nhất, định giá vẫn hợp lý so với khả năng sinh lời thuộc nhóm dẫn đầu.</w:t>
      </w:r>
    </w:p>
    <w:p w14:paraId="4E3946A2" w14:textId="497E67BF" w:rsidR="007D145A" w:rsidRDefault="007D145A" w:rsidP="007D145A">
      <w:pPr>
        <w:pStyle w:val="ListParagraph"/>
        <w:numPr>
          <w:ilvl w:val="0"/>
          <w:numId w:val="6"/>
        </w:numPr>
        <w:spacing w:before="120" w:after="120" w:line="360" w:lineRule="auto"/>
        <w:rPr>
          <w:rFonts w:ascii="Noto Sans" w:hAnsi="Noto Sans" w:cs="Noto Sans"/>
          <w:sz w:val="20"/>
          <w:szCs w:val="20"/>
        </w:rPr>
      </w:pPr>
      <w:r>
        <w:rPr>
          <w:rFonts w:ascii="Noto Sans" w:hAnsi="Noto Sans" w:cs="Noto Sans"/>
          <w:sz w:val="20"/>
          <w:szCs w:val="20"/>
        </w:rPr>
        <w:t xml:space="preserve">MBB hiện giao dịch quanh mức P/B khoảng 1,4 lần, nhưng tính trên giá trị sổ sách dự phóng năm 2026 thì P/B chỉ còn khoảng 1,2 lần – một mức hợp lý với ngân hàng đạt ROE 21,1% trong năm 2025.</w:t>
      </w:r>
    </w:p>
    <w:p w14:paraId="1B5FA6E7" w14:textId="297DC41D" w:rsidR="007D145A" w:rsidRDefault="007D145A" w:rsidP="007D145A">
      <w:pPr>
        <w:pStyle w:val="ListParagraph"/>
        <w:numPr>
          <w:ilvl w:val="0"/>
          <w:numId w:val="6"/>
        </w:numPr>
        <w:spacing w:before="120" w:after="120" w:line="360" w:lineRule="auto"/>
        <w:rPr>
          <w:rFonts w:ascii="Noto Sans" w:hAnsi="Noto Sans" w:cs="Noto Sans"/>
          <w:sz w:val="20"/>
          <w:szCs w:val="20"/>
        </w:rPr>
      </w:pPr>
      <w:r>
        <w:rPr>
          <w:rFonts w:ascii="Noto Sans" w:hAnsi="Noto Sans" w:cs="Noto Sans"/>
          <w:sz w:val="20"/>
          <w:szCs w:val="20"/>
        </w:rPr>
        <w:t xml:space="preserve">Đây là mức sinh lời thuộc nhóm cao nhất trong các ngân hàng quy mô lớn. Các nhóm phân tích trên thị trường hiện đưa ra giá mục tiêu cho MBB trong vùng 32.900 – 37.230 đồng mỗi cổ phiếu. </w:t>
      </w:r>
    </w:p>
    <w:p w14:paraId="4DAB301A" w14:textId="71392EE9" w:rsidR="00074405" w:rsidRPr="00E61351" w:rsidRDefault="00CF47B7" w:rsidP="00E61351">
      <w:pPr>
        <w:pStyle w:val="ListParagraph"/>
        <w:numPr>
          <w:ilvl w:val="0"/>
          <w:numId w:val="6"/>
        </w:numPr>
        <w:spacing w:before="120" w:after="120" w:line="360" w:lineRule="auto"/>
        <w:rPr>
          <w:rFonts w:ascii="Noto Sans" w:hAnsi="Noto Sans" w:cs="Noto Sans"/>
          <w:sz w:val="20"/>
          <w:szCs w:val="20"/>
        </w:rPr>
      </w:pPr>
      <w:r>
        <w:rPr>
          <w:rFonts w:ascii="Noto Sans" w:hAnsi="Noto Sans" w:cs="Noto Sans"/>
          <w:sz w:val="20"/>
          <w:szCs w:val="20"/>
        </w:rPr>
        <w:t xml:space="preserve">Sắp tới đây, MBB sẽ tăng vốn điều lệ từ 80.550 tỷ đồng lên tối đa 102.687 tỷ đồng và chi trả cổ tức tỷ lệ 25%, gồm 10% tiền mặt và 15% cổ phiếu, đây cũng có thể cải thiện tâm lý giao dịch mã cổ phiếu này. </w:t>
      </w:r>
    </w:p>
    <w:p w14:paraId="2364E521" w14:textId="089F2CA1" w:rsidR="00807FA7" w:rsidRPr="00DA05BA" w:rsidRDefault="00074405" w:rsidP="00DA05BA">
      <w:pPr>
        <w:pStyle w:val="ListParagraph"/>
        <w:numPr>
          <w:ilvl w:val="0"/>
          <w:numId w:val="3"/>
        </w:numPr>
        <w:spacing w:before="120" w:after="120" w:line="360" w:lineRule="auto"/>
        <w:rPr>
          <w:rFonts w:ascii="Noto Sans" w:hAnsi="Noto Sans" w:cs="Noto Sans"/>
          <w:b/>
          <w:bCs/>
          <w:sz w:val="20"/>
          <w:szCs w:val="20"/>
        </w:rPr>
      </w:pPr>
      <w:r>
        <w:rPr>
          <w:rFonts w:ascii="Noto Sans" w:hAnsi="Noto Sans" w:cs="Noto Sans"/>
          <w:b/>
          <w:bCs/>
          <w:sz w:val="20"/>
          <w:szCs w:val="20"/>
        </w:rPr>
        <w:t>Lợi thế vốn rẻ từ tỷ lệ CASA dẫn đầu toàn hệ thống</w:t>
      </w:r>
    </w:p>
    <w:p w14:paraId="76A5C643" w14:textId="6571BFF4" w:rsidR="00074405" w:rsidRPr="00C0221C" w:rsidRDefault="00074405" w:rsidP="00807FA7">
      <w:pPr>
        <w:pStyle w:val="ListParagraph"/>
        <w:numPr>
          <w:ilvl w:val="0"/>
          <w:numId w:val="4"/>
        </w:numPr>
        <w:spacing w:before="120" w:after="120" w:line="360" w:lineRule="auto"/>
        <w:contextualSpacing w:val="0"/>
        <w:rPr>
          <w:rFonts w:ascii="Noto Sans" w:hAnsi="Noto Sans" w:cs="Noto Sans"/>
          <w:b/>
          <w:bCs/>
          <w:sz w:val="20"/>
          <w:szCs w:val="20"/>
        </w:rPr>
      </w:pPr>
      <w:r>
        <w:rPr>
          <w:rFonts w:ascii="Noto Sans" w:hAnsi="Noto Sans" w:cs="Noto Sans"/>
          <w:sz w:val="20"/>
          <w:szCs w:val="20"/>
        </w:rPr>
        <w:t xml:space="preserve">Trong bối cảnh biên lãi ròng toàn ngành thu hẹp, MBB vẫn giữ tỷ lệ tiền gửi không kỳ hạn CASA quanh 38% vào cuối năm 2025 – mức cao nhất hệ thống, với số dư CASA tăng khoảng 27% so với cùng kỳ. </w:t>
      </w:r>
    </w:p>
    <w:p w14:paraId="6950BB94" w14:textId="77777777" w:rsidR="00233746" w:rsidRPr="00233746" w:rsidRDefault="00233746" w:rsidP="00233746">
      <w:pPr>
        <w:pStyle w:val="ListParagraph"/>
        <w:numPr>
          <w:ilvl w:val="0"/>
          <w:numId w:val="4"/>
        </w:numPr>
        <w:spacing w:before="120" w:after="120" w:line="360" w:lineRule="auto"/>
        <w:rPr>
          <w:rFonts w:ascii="Noto Sans" w:hAnsi="Noto Sans" w:cs="Noto Sans"/>
          <w:b/>
          <w:bCs/>
          <w:sz w:val="20"/>
          <w:szCs w:val="20"/>
        </w:rPr>
      </w:pPr>
      <w:r>
        <w:rPr>
          <w:rFonts w:ascii="Noto Sans" w:hAnsi="Noto Sans" w:cs="Noto Sans"/>
          <w:sz w:val="20"/>
          <w:szCs w:val="20"/>
        </w:rPr>
        <w:t>Nguồn vốn giá rẻ này giúp MBB giữ chi phí huy động ở nhóm thấp nhất và bảo vệ biên lãi ròng tốt hơn phần còn lại của ngành. Đồng thời, thu nhập từ phí dịch vụ năm 2025 tăng hơn 50%, giúp cơ cấu thu nhập bớt phụ thuộc vào tín dụng.</w:t>
      </w:r>
    </w:p>
    <w:p w14:paraId="409237E2" w14:textId="05E97C43" w:rsidR="00807FA7" w:rsidRPr="00C0221C" w:rsidRDefault="00074405" w:rsidP="00DA05BA">
      <w:pPr>
        <w:pStyle w:val="ListParagraph"/>
        <w:numPr>
          <w:ilvl w:val="0"/>
          <w:numId w:val="3"/>
        </w:numPr>
        <w:spacing w:before="120" w:after="120" w:line="360" w:lineRule="auto"/>
        <w:contextualSpacing w:val="0"/>
        <w:rPr>
          <w:rFonts w:ascii="Noto Sans" w:hAnsi="Noto Sans" w:cs="Noto Sans"/>
          <w:b/>
          <w:bCs/>
          <w:sz w:val="20"/>
          <w:szCs w:val="20"/>
        </w:rPr>
      </w:pPr>
      <w:r>
        <w:rPr>
          <w:rFonts w:ascii="Noto Sans" w:hAnsi="Noto Sans" w:cs="Noto Sans"/>
          <w:b/>
          <w:bCs/>
          <w:sz w:val="20"/>
          <w:szCs w:val="20"/>
        </w:rPr>
        <w:t>Triển vọng tăng trưởng từ hạn mức tín dụng đặc biệt và mở rộng quy mô</w:t>
      </w:r>
    </w:p>
    <w:p w14:paraId="5C4FF10B" w14:textId="4BDA69B7" w:rsidR="00074405" w:rsidRPr="00C0221C" w:rsidRDefault="00A508B0" w:rsidP="00807FA7">
      <w:pPr>
        <w:pStyle w:val="ListParagraph"/>
        <w:numPr>
          <w:ilvl w:val="0"/>
          <w:numId w:val="5"/>
        </w:numPr>
        <w:spacing w:before="120" w:after="120" w:line="360" w:lineRule="auto"/>
        <w:contextualSpacing w:val="0"/>
        <w:rPr>
          <w:rFonts w:ascii="Noto Sans" w:hAnsi="Noto Sans" w:cs="Noto Sans"/>
          <w:b/>
          <w:bCs/>
          <w:sz w:val="20"/>
          <w:szCs w:val="20"/>
        </w:rPr>
      </w:pPr>
      <w:r>
        <w:rPr>
          <w:rFonts w:ascii="Noto Sans" w:hAnsi="Noto Sans" w:cs="Noto Sans"/>
          <w:sz w:val="20"/>
          <w:szCs w:val="20"/>
        </w:rPr>
        <w:t xml:space="preserve">Sau khi nhận chuyển giao bắt buộc ngân hàng MBV, MBB được giao hạn mức tăng trưởng tín dụng thuộc nhóm cao nhất thị trường cho giai đoạn 2026 – 2028, với mục tiêu tăng trưởng tín dụng năm nay trong khoảng 30 – 35%. </w:t>
      </w:r>
    </w:p>
    <w:p w14:paraId="7EF949C5" w14:textId="16E450FF" w:rsidR="00074405" w:rsidRPr="00C0221C" w:rsidRDefault="00074405" w:rsidP="00807FA7">
      <w:pPr>
        <w:pStyle w:val="ListParagraph"/>
        <w:numPr>
          <w:ilvl w:val="0"/>
          <w:numId w:val="5"/>
        </w:numPr>
        <w:spacing w:before="120" w:after="120" w:line="360" w:lineRule="auto"/>
        <w:contextualSpacing w:val="0"/>
        <w:rPr>
          <w:rFonts w:ascii="Noto Sans" w:hAnsi="Noto Sans" w:cs="Noto Sans"/>
          <w:sz w:val="20"/>
          <w:szCs w:val="20"/>
        </w:rPr>
      </w:pPr>
      <w:r>
        <w:rPr>
          <w:rFonts w:ascii="Noto Sans" w:hAnsi="Noto Sans" w:cs="Noto Sans"/>
          <w:sz w:val="20"/>
          <w:szCs w:val="20"/>
        </w:rPr>
        <w:t xml:space="preserve">Quy mô cũng đang bứt tốc: tổng tài sản đạt hơn 1,61 triệu tỷ đồng vào cuối năm 2025, tăng 43% chỉ trong một năm, và ngân hàng đặt mục tiêu vượt 2,1 triệu tỷ đồng trong năm 2026, đi cùng nhu cầu vốn lớn từ các dự án hạ tầng và đầu tư công. </w:t>
      </w:r>
    </w:p>
    <w:p w14:paraId="45D3680B" w14:textId="0E7B688F" w:rsidR="00DA05BA" w:rsidRDefault="00C0221C" w:rsidP="00DA05BA">
      <w:pPr>
        <w:rPr>
          <w:rFonts w:ascii="Noto Sans" w:hAnsi="Noto Sans" w:cs="Noto Sans"/>
          <w:sz w:val="20"/>
          <w:szCs w:val="20"/>
        </w:rPr>
      </w:pPr>
      <w:r>
        <w:rPr>
          <w:rFonts w:ascii="Noto Sans" w:hAnsi="Noto Sans" w:cs="Noto Sans"/>
          <w:sz w:val="20"/>
          <w:szCs w:val="20"/>
        </w:rPr>
        <w:t xml:space="preserve">Với chi phí vốn thấp nhất hệ thống, dư địa tăng trưởng tín dụng vượt trội và lộ trình tăng vốn rõ ràng, chúng tôi cho rằng MBB vẫn còn dư địa để mở rộng định giá. Nếu vĩ mô ổn định và tín dụng tiếp tục tăng tốc, MBB được kỳ vọng sẽ là một trong những cổ phiếu ngân hàng dẫn dắt trong thời gian sắp tới. </w:t>
      </w:r>
    </w:p>
    <w:p w14:paraId="1B1B6081" w14:textId="77777777" w:rsidR="00DA05BA" w:rsidRDefault="00DA05BA" w:rsidP="00DA05BA">
      <w:pPr>
        <w:rPr>
          <w:rFonts w:ascii="Noto Sans" w:hAnsi="Noto Sans" w:cs="Noto Sans"/>
          <w:sz w:val="20"/>
          <w:szCs w:val="20"/>
        </w:rPr>
      </w:pPr>
    </w:p>
    <w:p w14:paraId="5684752E" w14:textId="25D28FDD" w:rsidR="00DA05BA" w:rsidRPr="00C0221C" w:rsidRDefault="00DA05BA" w:rsidP="00DA05BA">
      <w:pPr>
        <w:rPr>
          <w:rFonts w:ascii="Noto Sans" w:hAnsi="Noto Sans" w:cs="Noto Sans"/>
          <w:sz w:val="20"/>
          <w:szCs w:val="20"/>
        </w:rPr>
      </w:pPr>
      <w:r>
        <w:rPr>
          <w:rFonts w:ascii="Noto Sans" w:hAnsi="Noto Sans" w:cs="Noto Sans"/>
          <w:sz w:val="20"/>
          <w:szCs w:val="20"/>
        </w:rPr>
        <w:t xml:space="preserve">Và tới đây thì thời lượng chương trình, cảm ơn quý nhà đầu tư đã theo dõi kênh của chúng tôi </w:t>
      </w:r>
    </w:p>
    <w:p w14:paraId="7BE536C6" w14:textId="77777777" w:rsidR="002B04C9" w:rsidRPr="00807FA7" w:rsidRDefault="002B04C9" w:rsidP="00807FA7">
      <w:pPr>
        <w:spacing w:before="120" w:after="120" w:line="360" w:lineRule="auto"/>
        <w:rPr>
          <w:rFonts w:ascii="Noto Sans" w:hAnsi="Noto Sans" w:cs="Noto Sans"/>
          <w:sz w:val="18"/>
          <w:szCs w:val="18"/>
        </w:rPr>
      </w:pPr>
    </w:p>
    <w:sectPr w:rsidR="002B04C9" w:rsidRPr="00807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Noto Sans">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72B"/>
    <w:multiLevelType w:val="hybridMultilevel"/>
    <w:tmpl w:val="3C620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844233"/>
    <w:multiLevelType w:val="hybridMultilevel"/>
    <w:tmpl w:val="B886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1A5DBE"/>
    <w:multiLevelType w:val="hybridMultilevel"/>
    <w:tmpl w:val="5198C1D0"/>
    <w:lvl w:ilvl="0" w:tplc="CD2CAAD4">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FA6106"/>
    <w:multiLevelType w:val="hybridMultilevel"/>
    <w:tmpl w:val="FE746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A755F4"/>
    <w:multiLevelType w:val="hybridMultilevel"/>
    <w:tmpl w:val="635A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8D29CF"/>
    <w:multiLevelType w:val="hybridMultilevel"/>
    <w:tmpl w:val="5C5E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274242">
    <w:abstractNumId w:val="5"/>
  </w:num>
  <w:num w:numId="2" w16cid:durableId="562839355">
    <w:abstractNumId w:val="3"/>
  </w:num>
  <w:num w:numId="3" w16cid:durableId="990475863">
    <w:abstractNumId w:val="2"/>
  </w:num>
  <w:num w:numId="4" w16cid:durableId="1931695035">
    <w:abstractNumId w:val="0"/>
  </w:num>
  <w:num w:numId="5" w16cid:durableId="1792900904">
    <w:abstractNumId w:val="4"/>
  </w:num>
  <w:num w:numId="6" w16cid:durableId="289824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1DC"/>
    <w:rsid w:val="00023E95"/>
    <w:rsid w:val="00074405"/>
    <w:rsid w:val="00085985"/>
    <w:rsid w:val="00144126"/>
    <w:rsid w:val="001834E0"/>
    <w:rsid w:val="001F0600"/>
    <w:rsid w:val="00233746"/>
    <w:rsid w:val="002B04C9"/>
    <w:rsid w:val="002B2F49"/>
    <w:rsid w:val="002C1A4D"/>
    <w:rsid w:val="003D2F22"/>
    <w:rsid w:val="003D399F"/>
    <w:rsid w:val="00487635"/>
    <w:rsid w:val="00513EB5"/>
    <w:rsid w:val="00676026"/>
    <w:rsid w:val="006D47E8"/>
    <w:rsid w:val="007D145A"/>
    <w:rsid w:val="00807FA7"/>
    <w:rsid w:val="00934A2B"/>
    <w:rsid w:val="00A44EB9"/>
    <w:rsid w:val="00A508B0"/>
    <w:rsid w:val="00A94837"/>
    <w:rsid w:val="00AA1808"/>
    <w:rsid w:val="00B21FDA"/>
    <w:rsid w:val="00C0221C"/>
    <w:rsid w:val="00CF47B7"/>
    <w:rsid w:val="00DA05BA"/>
    <w:rsid w:val="00DE5E1C"/>
    <w:rsid w:val="00E61351"/>
    <w:rsid w:val="00EC1DDB"/>
    <w:rsid w:val="00EF0A47"/>
    <w:rsid w:val="00F10B02"/>
    <w:rsid w:val="00FA71D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5D58"/>
  <w15:chartTrackingRefBased/>
  <w15:docId w15:val="{A98EBF5C-2429-4BC3-A210-1ADA7C3A5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1D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A71D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A71D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A7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1D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A71D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A71D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A7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1DC"/>
    <w:rPr>
      <w:rFonts w:eastAsiaTheme="majorEastAsia" w:cstheme="majorBidi"/>
      <w:color w:val="272727" w:themeColor="text1" w:themeTint="D8"/>
    </w:rPr>
  </w:style>
  <w:style w:type="paragraph" w:styleId="Title">
    <w:name w:val="Title"/>
    <w:basedOn w:val="Normal"/>
    <w:next w:val="Normal"/>
    <w:link w:val="TitleChar"/>
    <w:uiPriority w:val="10"/>
    <w:qFormat/>
    <w:rsid w:val="00FA71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A71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A71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A71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A71DC"/>
    <w:pPr>
      <w:spacing w:before="160"/>
      <w:jc w:val="center"/>
    </w:pPr>
    <w:rPr>
      <w:i/>
      <w:iCs/>
      <w:color w:val="404040" w:themeColor="text1" w:themeTint="BF"/>
    </w:rPr>
  </w:style>
  <w:style w:type="character" w:customStyle="1" w:styleId="QuoteChar">
    <w:name w:val="Quote Char"/>
    <w:basedOn w:val="DefaultParagraphFont"/>
    <w:link w:val="Quote"/>
    <w:uiPriority w:val="29"/>
    <w:rsid w:val="00FA71DC"/>
    <w:rPr>
      <w:i/>
      <w:iCs/>
      <w:color w:val="404040" w:themeColor="text1" w:themeTint="BF"/>
    </w:rPr>
  </w:style>
  <w:style w:type="paragraph" w:styleId="ListParagraph">
    <w:name w:val="List Paragraph"/>
    <w:basedOn w:val="Normal"/>
    <w:uiPriority w:val="34"/>
    <w:qFormat/>
    <w:rsid w:val="00FA71DC"/>
    <w:pPr>
      <w:ind w:left="720"/>
      <w:contextualSpacing/>
    </w:pPr>
  </w:style>
  <w:style w:type="character" w:styleId="IntenseEmphasis">
    <w:name w:val="Intense Emphasis"/>
    <w:basedOn w:val="DefaultParagraphFont"/>
    <w:uiPriority w:val="21"/>
    <w:qFormat/>
    <w:rsid w:val="00FA71DC"/>
    <w:rPr>
      <w:i/>
      <w:iCs/>
      <w:color w:val="0F4761" w:themeColor="accent1" w:themeShade="BF"/>
    </w:rPr>
  </w:style>
  <w:style w:type="paragraph" w:styleId="IntenseQuote">
    <w:name w:val="Intense Quote"/>
    <w:basedOn w:val="Normal"/>
    <w:next w:val="Normal"/>
    <w:link w:val="IntenseQuoteChar"/>
    <w:uiPriority w:val="30"/>
    <w:qFormat/>
    <w:rsid w:val="00FA7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1DC"/>
    <w:rPr>
      <w:i/>
      <w:iCs/>
      <w:color w:val="0F4761" w:themeColor="accent1" w:themeShade="BF"/>
    </w:rPr>
  </w:style>
  <w:style w:type="character" w:styleId="IntenseReference">
    <w:name w:val="Intense Reference"/>
    <w:basedOn w:val="DefaultParagraphFont"/>
    <w:uiPriority w:val="32"/>
    <w:qFormat/>
    <w:rsid w:val="00FA71DC"/>
    <w:rPr>
      <w:b/>
      <w:bCs/>
      <w:smallCaps/>
      <w:color w:val="0F4761" w:themeColor="accent1" w:themeShade="BF"/>
      <w:spacing w:val="5"/>
    </w:rPr>
  </w:style>
  <w:style w:type="paragraph" w:styleId="NormalWeb">
    <w:name w:val="Normal (Web)"/>
    <w:basedOn w:val="Normal"/>
    <w:uiPriority w:val="99"/>
    <w:unhideWhenUsed/>
    <w:rsid w:val="007D145A"/>
    <w:pPr>
      <w:spacing w:before="100" w:beforeAutospacing="1" w:after="100" w:afterAutospacing="1" w:line="240" w:lineRule="auto"/>
    </w:pPr>
    <w:rPr>
      <w:rFonts w:ascii="Times New Roman" w:eastAsia="Times New Roman" w:hAnsi="Times New Roman" w:cs="Times New Roman"/>
      <w:kern w:val="0"/>
      <w:sz w:val="24"/>
      <w:szCs w:val="24"/>
      <w:lang w:eastAsia="en-US" w:bidi="ar-SA"/>
      <w14:ligatures w14:val="none"/>
    </w:rPr>
  </w:style>
  <w:style w:type="character" w:styleId="Strong">
    <w:name w:val="Strong"/>
    <w:basedOn w:val="DefaultParagraphFont"/>
    <w:uiPriority w:val="22"/>
    <w:qFormat/>
    <w:rsid w:val="007D14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Le</dc:creator>
  <cp:keywords/>
  <dc:description/>
  <cp:lastModifiedBy>Quan, Ton Dat</cp:lastModifiedBy>
  <cp:revision>21</cp:revision>
  <cp:lastPrinted>2026-06-23T02:54:00Z</cp:lastPrinted>
  <dcterms:created xsi:type="dcterms:W3CDTF">2026-06-19T07:40:00Z</dcterms:created>
  <dcterms:modified xsi:type="dcterms:W3CDTF">2026-06-23T03:33:00Z</dcterms:modified>
</cp:coreProperties>
</file>