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A tale of two sessions</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The VN-Index opened at 1,820.8pts (-2.0% DoD) and closed at 1,830.4pts (+0.5% DoD), reaching a high of 1,831.3pts (-2.3% DoD) and a low of 1,814.5pts (-0.4% DoD). The session was cautious and highly divergent: for most of the day the index churned sideways, and it was only a late bounce that lifted it more than 8 points back above 1,830. That recovery rested chiefly on a reversal in VIC, which alone added over 7.5 points, and was helped along by a general easing of selling pressure into the close. Oil &amp; gas names lent further support as crude firmed, with GAS (+1.9%) and BSR (+2.7%) the top VN30 gainers, though the strength stayed concentrated in a handful of names — VRE (-3%) was the heaviest drag and breadth remained narrow at 152 advancers to 158 decliners.</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The thin participation showed in the turnover as well, with liquidity reaching 559mn of shares (-23.5% DoD) and value 14,184bn (-28.7% DoD).</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Within the VN30, the session's leaders were BSR (+2.7%), GAS (+1.9%), VIC (+1.9%), VPL (+1.7%), and HPG (+1.4%). On the softer side, VRE (-3.0%), LPB (-1.3%), VHM (-1.2%), STB (-0.7%), and SHB (-0.4%) lagged the index.</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seller with outflows of VND402bn, including VND1,797bn in buying (4% DoD) and VND2,199bn in selling (0%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FPT (VND64bn), VIB (VND42bn), HCM (VND30bn), MSR (VND28bn), HPG (VND26bn).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VCB (VND87bn), VPB (VND77bn), DXG (VND55bn), PVD (VND44bn), VRE (VND40bn).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Vietnam elevated to upper-middle-income status</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UOB lifts Vietnam's 2026 GDP growth forecast to 8.5%</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Vietnam FDI disbursement rises 12% to US$17.25bn in 8M26</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