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81,400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10%</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5,896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-0.7</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24.0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5.8%, from below 4.5%, and FY27F at 4.0% from 3.1%. On an 8% loan book that is a balance of VND39,237bn, so the ratio improves on 2Q26’s 7.54% through write-offs and a bigger denominator rather than through cures. Reserves reached VND27.2tn at end-2Q26 — 56.7% coverage, up from 50.0% at end-FY25 — after VND7.1tn of 1H26 charges. A further VND3.9tn charge in 2H26 funds write-offs of VND11.6tn, or 36% of the Group 5 balance, leaving coverage at 48.6%.</w:t>
      </w:r>
    </w:p>
    <w:p>
      <w:pPr>
        <w:spacing w:after="40" w:line="250"/>
        <w:jc w:val="left"/>
      </w:pPr>
      <w:r>
        <w:rPr>
          <w:rFonts w:ascii="Calibri" w:cs="Calibri" w:eastAsia="Calibri" w:hAnsi="Calibri"/>
          <w:b/>
          <w:bCs/>
          <w:color w:val="1F3864"/>
          <w:sz w:val="17"/>
          <w:szCs w:val="17"/>
        </w:rPr>
        <w:t xml:space="preserve">FY26F PBT of VND7,573bn on an 8% loan book:</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take FY26F loan growth to 8.0%, from the 2.3% carried before and against the 1.5% delivered in 1H26 — the second half has to add 6.4% for the year to land there, which assumes STB draws on the credit quota it has not used. Gross loans reach VND676,504bn and NII VND26,084bn (-2.2% YoY), taking FY26F PBT to VND7,573bn (-0.7% YoY) — 6.5% below the board-approved plan of VND8,100bn. The implied 2H26 PBT is VND3,437bn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VND11.0tn (-3.6% YoY) and non-interest income of VND5,950bn. CIR steps down from 42.1% in FY26F to 40.0% in FY27F and 38.0% in FY28F; holding that path on the bigger revenue base puts 2H26 costs at VND7,254bn against VND6,233bn in 1H26, +16.4%, so the loan book is not assumed to grow for free. FY27F carries VND1,000bn of specific charge above what write-offs consume and FY28F VND2,000bn, so reserve stock builds rather than merely funding disposals. FY27F NII grows 16.5% as NIM turns — NII/average loans goes from 4.00% to 4.23% — carrying FY27F PBT to VND11,417bn (+51%) and FY28F to VND17,229bn (+51%).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26,084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30,380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34,333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11,417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17,229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5,896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8,889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13,415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4,094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3,150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4,715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7,116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14.0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23.8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1,126,599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1,265,372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88,033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29,160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31,756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34,865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39,581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46,696</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5,896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-0.7</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24.0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5.8% (từ dưới 4.5%) và FY27F ở 4.0% (từ 3.1%). Giữ Trên nền dư nợ tăng 8%, mức này tương ứng số dư 39,237 tỷ đồng — tỷ lệ nợ xấu cải thiện từ 7.54% của Q2/2026 nhờ xóa nợ và mẫu số lớn hơn, không phải nhờ nợ được thu hồi. Dự phòng đạt 27.2 nghìn tỷ đồng cuối Q2/2026 — bao phủ 56.7%, tăng từ 50.0% cuối 2025 — sau khi trích 7.1 nghìn tỷ đồng trong 1H26 và trích thêm 3.9 nghìn tỷ đồng trong 2H26 đủ để xóa 11.6 nghìn tỷ đồng, tương đương 36% dư nợ nhóm 5, đưa bao phủ về 48.6%.</w:t>
      </w:r>
    </w:p>
    <w:p>
      <w:pPr>
        <w:spacing w:after="40" w:line="250"/>
        <w:jc w:val="left"/>
      </w:pPr>
      <w:r>
        <w:rPr>
          <w:rFonts w:ascii="Calibri" w:cs="Calibri" w:eastAsia="Calibri" w:hAnsi="Calibri"/>
          <w:b/>
          <w:bCs/>
          <w:color w:val="1F3864"/>
          <w:sz w:val="17"/>
          <w:szCs w:val="17"/>
        </w:rPr>
        <w:t xml:space="preserve">LNTT FY26F 7,573 tỷ đồng trên nền dư nợ tăng 8%:</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hạ giả định tăng trưởng tín dụng FY26F về 2.3%, so với 11.7% trước đây và 1.5% thực hiện trong 1H26. Dư nợ theo đó còn 676,504 tỷ đồng và NII còn 26,084 tỷ đồng (-2.2% CK), kéo LNTT FY26F xuống 7,573 tỷ đồng (-0.7% CK) — thấp hơn 7% so với kế hoạch 8,100 tỷ đồng đã được ĐHĐCĐ thông qua, trong khi bản trước còn nhỉnh hơn kế hoạch. Mức này hàm ý LNTT 2H26 khoảng 3,437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11.0 nghìn tỷ đồng (-3.6% CK) và thu nhập ngoài lãi 5,950 tỷ đồng. CIR giảm dần từ 42.1% năm FY26F về 40.0% FY27F và 38.0% FY28F; giữ lộ trình này trên nền thu nhập lớn hơn cho chi phí 2H26 ở 7,254 tỷ đồng so với 6,233 tỷ đồng của 1H26, +16.4%, tức tăng trưởng tín dụng không được giả định là miễn phí. FY27F trích thêm 1,000 tỷ đồng và FY28F 2,000 tỷ đồng ngoài phần đủ bù xóa nợ, tức bộ đệm dự phòng được bồi đắp chứ không chỉ tài trợ xử lý nợ. NII FY27F tăng 16.5% khi NIM đảo chiều — NII/dư nợ bình quân từ 4.00% lên 4.23% — đưa LNTT FY27F lên 11,417 tỷ đồng (+51%) và FY28F lên 17,229 tỷ đồng (+51%).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26,084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30,380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34,333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7,573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11,417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17,229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5,896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8,889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13,415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4,094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3,150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3,128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4,715</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7,116</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12.7</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14.0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23.8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10.5</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1.6</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1,126,599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1,265,372</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74,618</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88,033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29,160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31,756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34,865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39,581</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46,696</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2026-08-06T07:37:28.104Z</dcterms:created>
  <dcterms:modified xsi:type="dcterms:W3CDTF">2026-08-06T07:37:28.107Z</dcterms:modified>
</cp:coreProperties>
</file>

<file path=docProps/custom.xml><?xml version="1.0" encoding="utf-8"?>
<Properties xmlns="http://schemas.openxmlformats.org/officeDocument/2006/custom-properties" xmlns:vt="http://schemas.openxmlformats.org/officeDocument/2006/docPropsVTypes"/>
</file>