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Momentum intact</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VN-Index opened at 1,746.2pts (+0.4% DoD), which was also its session low (1,746.2pts, +0.4% DoD). It climbed steadily through the morning and went into the lunch break up more than 20pts. The afternoon held those gains despite Vingroup stocks coming off their highs, and the index reached a high of 1,763.6pts (+1.4% DoD) before closing at 1,760.6pts (+1.3% DoD), its third straight gain. Breadth was negative despite the headline rise, with 149 advancers (2 at ceiling), 167 decliners (3 at floor) and 57 unchanged. VIC and VHM carried the index: VIC alone added 15.5pts. The energy sector also helped, gaining 2.9%, led by PVD (+5.0%, 9.6m shares) and BSR (+3.9%). Banks were mixed to soft, with most names down less than 1%. SHB led both the sector and the market in liquidity at 39.4m shares and closed flat. Among brokers, ORS jumped 6.5% to near ceiling on 10.1m shares.</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reached 672mn of shares (+17.0% DoD) and value reached 15,299bn (+15.4%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Among VN30 constituents, the top gainers were VIC (+4.2%), BSR (+3.9%), VHM (+3.6%), TCX (+2.9%) and VPL (+2.4%), while the top laggards were LPB (-1.8%), SSB (-1.2%), SSI (-1.2%), BID (-0.9%) and TCB (-0.7%).</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buyer with inflow of VND340bn, including VND2,291bn in buying (-9% DoD) and VND1,951bn in selling (-17%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TCB (VND290bn), MSN (VND145bn), VIC (VND89bn), VIB (VND51bn), SSI (VND50bn).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FPT (VND173bn), VCB (VND106bn), ACB (VND103bn), DXG (VND61bn), VPB (VND58bn).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Vietnam - Denmark relations upgraded to Comprehensive Strategic Partnership</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Vietnam, Malaysia boost LNG cooperation to ensure energy security</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Ministry proposes US$19mn fund to support industrial energy efficiency</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