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Holding the ratio at 5.5% on the smaller loan book would have required net NPL recoveries in 2H26; 5.8% keeps the absolute balance at VND37,157bn and implied net formation just positive. Reserves reached VND27.2tn at end-2Q26 — 56.7% coverage, up from 50.0% at end-FY25 — after VND7.1tn of 1H26 charges. A further VND3.1tn charge in 2H26 funds write-offs of VND11.0tn, or 34% of the Group 5 balance, leaving coverage at 50.9%.</w:t>
      </w:r>
    </w:p>
    <w:p>
      <w:pPr>
        <w:spacing w:after="40" w:line="250"/>
        <w:jc w:val="left"/>
      </w:pPr>
      <w:r>
        <w:rPr>
          <w:rFonts w:ascii="Calibri" w:cs="Calibri" w:eastAsia="Calibri" w:hAnsi="Calibri"/>
          <w:b/>
          <w:bCs/>
          <w:color w:val="1F3864"/>
          <w:sz w:val="17"/>
          <w:szCs w:val="17"/>
        </w:rPr>
        <w:t xml:space="preserve">FY26F PBT of VND7,461bn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VND24,531bn (-8.1% YoY), and FY26F PBT to VND7,461bn (-2.2% YoY) — 7.9% below the board-approved plan of VND8,100bn, where we previously sat marginally above it. The implied 2H26 PBT is VND3,324bn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VND10.2tn (-10.4% YoY) and non-interest income of VND5,950bn. CIR steps down from 42.1% in FY26F to 40.0% in FY27F and 38.0% in FY28F; on 1H26 opex of VND6,233bn that puts 2H26 costs at VND6,585bn, +5.6% on the first half, so no cost reduction is assumed. FY27F NII grows 9.9% as NIM turns — NII/average loans goes from 3.87% to 3.96% — carrying FY27F PBT to VND10,872bn (+46%) and FY28F to VND17,271bn (+59%).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8,465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13,447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4,109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6,527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1,126,174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1,264,980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74,194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87,641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36,014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42,541</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5.5% trên nền dư nợ đã thu hẹp sẽ đòi hỏi nợ xấu phải được thu hồi ròng trong 2H26; mức 5.8% giữ số dư tuyệt đối ở 37,157 tỷ đồng và nợ xấu phát sinh mới vẫn dương. Dự phòng đạt 27.2 nghìn tỷ đồng cuối Q2/2026 — bao phủ 56.7%, tăng từ 50.0% cuối 2025 — sau khi trích 7.1 nghìn tỷ đồng trong 1H26 và trích thêm 3.1 nghìn tỷ đồng trong 2H26 đủ để xóa 11.0 nghìn tỷ đồng, tương đương 34% dư nợ nhóm 5, đưa bao phủ về 50.9%.</w:t>
      </w:r>
    </w:p>
    <w:p>
      <w:pPr>
        <w:spacing w:after="40" w:line="250"/>
        <w:jc w:val="left"/>
      </w:pPr>
      <w:r>
        <w:rPr>
          <w:rFonts w:ascii="Calibri" w:cs="Calibri" w:eastAsia="Calibri" w:hAnsi="Calibri"/>
          <w:b/>
          <w:bCs/>
          <w:color w:val="1F3864"/>
          <w:sz w:val="17"/>
          <w:szCs w:val="17"/>
        </w:rPr>
        <w:t xml:space="preserve">Đặt LNTT FY26F ở 7,500 tỷ đồng sau khi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24,531 tỷ đồng (-8.1% CK), kéo LNTT FY26F xuống 7,461 tỷ đồng (-2.2% CK) — thấp hơn 8% so với kế hoạch 8,100 tỷ đồng đã được ĐHĐCĐ thông qua, trong khi bản trước còn nhỉnh hơn kế hoạch. Mức này hàm ý LNTT 2H26 khoảng 3,324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10.2 nghìn tỷ đồng (-10.4% CK) và thu nhập ngoài lãi 5,950 tỷ đồng. CIR giảm dần từ 42.1% năm FY26F về 40.0% FY27F và 38.0% FY28F; với chi phí 1H26 là 6,233 tỷ đồng, mức này cho chi phí 2H26 ở 6,585 tỷ đồng, +5.6% so với nửa đầu năm, tức không giả định cắt giảm chi phí. NII FY27F tăng 9.9% khi NIM đảo chiều — NII/dư nợ bình quân từ 3.87% lên 3.96% — đưa LNTT FY27F lên 10,872 tỷ đồng (+46%) và FY28F lên 17,271 tỷ đồng (+59%).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8,465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13,447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4,109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6,527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1,126,174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1,264,980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74,194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87,641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36,014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42,541</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2026-08-05T08:58:55.944Z</dcterms:created>
  <dcterms:modified xsi:type="dcterms:W3CDTF">2026-08-05T08:58:55.944Z</dcterms:modified>
</cp:coreProperties>
</file>

<file path=docProps/custom.xml><?xml version="1.0" encoding="utf-8"?>
<Properties xmlns="http://schemas.openxmlformats.org/officeDocument/2006/custom-properties" xmlns:vt="http://schemas.openxmlformats.org/officeDocument/2006/docPropsVTypes"/>
</file>