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Rotation into banks and steel</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VN-Index opened at 1,720.9pts (+0.1% DoD) and briefly pushed to its intraday high of 1,722.7pts (+0.2% DoD) in the first minutes. The opening push faded quickly, and the index slid to around 1,710.0pts (-0.5% DoD) by mid-morning, then moved sideways through the lunch break. A small early-afternoon rebound failed, and a second wave of selling from around 13:30, led by the Vingroup stocks, dragged the index to its low of 1,699.2pts (-1.2% DoD) near the ATC. A late bounce lifted the close to 1,704.9pts (-0.8% DoD), keeping the 1,700pts psychological level intact. Capital flows indicate a rotation out of Vingroup-related stocks into cyclical sectors with near-term catalysts, notably steel and fertilizer ahead of the Q3 earnings season, as well as fundamentally stronger banks. Foreign investor activity was consistent with this trend, with net selling concentrated in VIC and VHM, while MBB, STB and HPG recorded net buying.</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HOSE trading value came to VND13,723bn, above the 1M average of VND12,791bn but below the 6M average of VND15,380bn.</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In the VN30 basket, top gainers were HPG (+1.7%), MBB (+1.6%), FPT (+1.4%), VIB (+1.1%) and MSN (+0.8%), while top laggards were VHM (-5.3%), SSB (-4.3%), VPL (-3.3%), LPB (-3.1%) and GVR (-2.9%).</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seller with outflows of VND772bn, including VND1,373bn in buying (-17% DoD) and VND2,145bn in selling (+3%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MBB (VND100bn), STB (VND44bn), HPG (VND29bn), HDB (VND21bn), MSN (VND18bn).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VIC (VND153bn), VHM (VND152bn), FRT (VND94bn), FPT (VND67bn), TCB (VND63bn).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PM calls for power supply adjustments to support double-digit growth</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Tackling obstacles that hinder private sector development</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Markets eye US inflation data as oil surges on Middle East tensions</w:t>
                              </w:r>
                              <w:r w:rsidR="00A92560"/>
                              <w:r w:rsidR="00A92560" w:rsidRPr="00A92560">
                                <w:rPr>
                                  <w:rFonts w:ascii="Noto Sans" w:hAnsi="Noto Sans" w:cs="Noto Sans"/>
                                  <w:b/>
                                  <w:bCs/>
                                </w:rPr>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Hai Phong approves 10 more sites for commercial housing projects</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