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Rotation into banks and steel</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1,720.9pts (+0.1% DoD) and briefly pushed to its intraday high of 1,722.7pts (+0.2% DoD) in the first minutes. The opening push faded quickly, and the index slid to around 1,710.0pts (-0.5% DoD) by mid-morning, then moved sideways through the lunch break. A small early-afternoon rebound failed, and a second wave of selling from around 13:30, led by the Vingroup stocks, dragged the index to its low of 1,699.2pts (-1.2% DoD) near the ATC. A late bounce lifted the close to 1,704.9pts (-0.8% DoD), keeping the 1,700pts psychological level intact. Capital flows indicate a rotation out of Vingroup-related stocks into cyclical sectors with near-term catalysts, notably steel and fertilizer ahead of the Q3 earnings season, as well as some banks. Foreign investor activity was consistent with this trend, with net selling concentrated in VIC and VHM, while MBB, STB and HPG recorded net buying.</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584mn of shares (+4.1% DoD) and value reached 13,732bn (+4.1%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In the VN30 basket, top gainers were HPG (+1.7%), MBB (+1.6%), FPT (+1.4%), VIB (+1.1%) and MSN (+0.8%), while top laggards were VHM (-5.3%), SSB (-4.3%), VPL (-3.3%), LPB (-3.1%) and GVR (-2.9%).</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seller with outflows of VND772bn, including VND1,373bn in buying (-17% DoD) and VND2,145bn in selling (+3%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MBB (VND100bn), STB (VND44bn), HPG (VND29bn), HDB (VND21bn), MSN (VND18bn).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VIC (VND153bn), VHM (VND152bn), FRT (VND94bn), FPT (VND67bn), TCB (VND63bn).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PM calls for power supply adjustments to support double-digit growth</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Tackling obstacles that hinder private sector development</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Markets eye US inflation data as oil surges on Middle East tensions</w:t>
                              </w:r>
                              <w:r w:rsidR="00A92560"/>
                              <w:r w:rsidR="00A92560" w:rsidRPr="00A92560">
                                <w:rPr>
                                  <w:rFonts w:ascii="Noto Sans" w:hAnsi="Noto Sans" w:cs="Noto Sans"/>
                                  <w:b/>
                                  <w:bCs/>
                                </w:rPr>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Hai Phong approves 10 more sites for commercial housing projects</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