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259" w:lineRule="auto"/>
      </w:pPr>
      <w:r>
        <w:rPr>
          <w:rFonts w:ascii="Noto Sans" w:cs="Noto Sans" w:eastAsia="Noto Sans" w:hAnsi="Noto Sans"/>
          <w:b w:val="false"/>
          <w:bCs w:val="false"/>
          <w:sz w:val="20"/>
          <w:szCs w:val="20"/>
        </w:rPr>
        <w:t xml:space="preserve">Lợi nhuận cao nhất bốn năm, nhưng chuyện lớn nhất của VPBank lại là tăng vốn?</w:t>
      </w:r>
    </w:p>
    <w:p>
      <w:pPr>
        <w:spacing w:after="160" w:line="259" w:lineRule="auto"/>
      </w:pPr>
      <w:r>
        <w:rPr>
          <w:rFonts w:ascii="Noto Sans" w:cs="Noto Sans" w:eastAsia="Noto Sans" w:hAnsi="Noto Sans"/>
          <w:b/>
          <w:bCs/>
          <w:sz w:val="20"/>
          <w:szCs w:val="20"/>
        </w:rPr>
        <w:t xml:space="preserve">[Mở – kể chuyện]</w:t>
      </w:r>
    </w:p>
    <w:p>
      <w:pPr>
        <w:spacing w:after="160" w:line="259" w:lineRule="auto"/>
      </w:pPr>
      <w:r>
        <w:rPr>
          <w:rFonts w:ascii="Noto Sans" w:cs="Noto Sans" w:eastAsia="Noto Sans" w:hAnsi="Noto Sans"/>
          <w:b/>
          <w:bCs/>
          <w:sz w:val="20"/>
          <w:szCs w:val="20"/>
        </w:rPr>
        <w:t xml:space="preserve">Nửa đầu năm 2026, bức tranh ngành ngân hàng phân hóa khá rõ. Chi phí huy động vẫn cao nên biên lãi mỏng đi, nợ xấu thì chưa hạ nhiệt, và không ít ngân hàng phải báo lãi đi lùi.</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Nhưng cũng có những cái tên đi ngược lại. Điều thú vị là quán quân tăng trưởng lần này không nằm trong nhóm quốc doanh, mà là một ngân hàng tư nhân — VPBank.</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[Bối cảnh – setup]</w:t>
      </w:r>
    </w:p>
    <w:p>
      <w:pPr>
        <w:spacing w:after="160" w:line="259" w:lineRule="auto"/>
      </w:pPr>
      <w:r>
        <w:rPr>
          <w:rFonts w:ascii="Noto Sans" w:cs="Noto Sans" w:eastAsia="Noto Sans" w:hAnsi="Noto Sans"/>
          <w:b w:val="false"/>
          <w:bCs w:val="false"/>
          <w:sz w:val="20"/>
          <w:szCs w:val="20"/>
        </w:rPr>
        <w:t xml:space="preserve">Chúng ta đang nói tới mục tiêu tăng trưởng GDP 10%. Muốn đạt được, tín dụng phải chảy mạnh; mà muốn cho vay nhiều thì ngân hàng phải có đủ vốn trước đã.</w:t>
      </w:r>
    </w:p>
    <w:p>
      <w:pPr>
        <w:spacing w:after="160" w:line="259" w:lineRule="auto"/>
      </w:pPr>
      <w:r>
        <w:rPr>
          <w:rFonts w:ascii="Noto Sans" w:cs="Noto Sans" w:eastAsia="Noto Sans" w:hAnsi="Noto Sans"/>
          <w:b w:val="false"/>
          <w:bCs w:val="false"/>
          <w:sz w:val="20"/>
          <w:szCs w:val="20"/>
        </w:rPr>
        <w:t xml:space="preserve">Vì vậy 2026 gần như là năm tăng vốn của cả ngành.</w:t>
      </w:r>
    </w:p>
    <w:p>
      <w:pPr>
        <w:spacing w:after="160" w:line="259" w:lineRule="auto"/>
      </w:pPr>
      <w:r>
        <w:rPr>
          <w:rFonts w:ascii="Noto Sans" w:cs="Noto Sans" w:eastAsia="Noto Sans" w:hAnsi="Noto Sans"/>
          <w:b w:val="false"/>
          <w:bCs w:val="false"/>
          <w:sz w:val="20"/>
          <w:szCs w:val="20"/>
        </w:rPr>
        <w:t xml:space="preserve">Riêng với nhóm nhận chuyển giao ngân hàng yếu kém thì còn có thêm một lợi thế nữa. Theo Nghị định 69/2025, room ngoại của nhóm này có thể được nới lên tối đa 49%, thay vì trần 30% như thông thường.</w:t>
      </w:r>
    </w:p>
    <w:p>
      <w:pPr>
        <w:spacing w:after="160" w:line="259" w:lineRule="auto"/>
      </w:pPr>
      <w:r>
        <w:rPr>
          <w:rFonts w:ascii="Noto Sans" w:cs="Noto Sans" w:eastAsia="Noto Sans" w:hAnsi="Noto Sans"/>
          <w:b w:val="false"/>
          <w:bCs w:val="false"/>
          <w:sz w:val="20"/>
          <w:szCs w:val="20"/>
        </w:rPr>
        <w:t xml:space="preserve">Và VPBank nằm đúng giao điểm của cả hai câu chuyện.</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1 – kết quả kinh doanh và chất lượng tài sản]</w:t>
      </w:r>
    </w:p>
    <w:p>
      <w:pPr>
        <w:spacing w:after="160" w:line="259" w:lineRule="auto"/>
      </w:pPr>
      <w:r>
        <w:rPr>
          <w:rFonts w:ascii="Noto Sans" w:cs="Noto Sans" w:eastAsia="Noto Sans" w:hAnsi="Noto Sans"/>
          <w:b w:val="false"/>
          <w:bCs w:val="false"/>
          <w:sz w:val="20"/>
          <w:szCs w:val="20"/>
        </w:rPr>
        <w:t xml:space="preserve">Trước hết, hãy nhìn vào con số.</w:t>
      </w:r>
    </w:p>
    <w:p>
      <w:pPr>
        <w:pStyle w:val="ListParagraph"/>
        <w:numPr>
          <w:ilvl w:val="0"/>
          <w:numId w:val="2"/>
        </w:numPr>
        <w:spacing w:after="160" w:line="259" w:lineRule="auto"/>
      </w:pPr>
      <w:r>
        <w:rPr>
          <w:rFonts w:ascii="Noto Sans" w:cs="Noto Sans" w:eastAsia="Noto Sans" w:hAnsi="Noto Sans"/>
          <w:b/>
          <w:bCs/>
          <w:sz w:val="20"/>
          <w:szCs w:val="20"/>
        </w:rPr>
        <w:t xml:space="preserve">Lợi nhuận trước thuế nửa đầu năm đạt gần 18,900 tỷ đồng, tăng 68% so với cùng kỳ — mới nửa năm đã đi được 46% kế hoạch. Riêng quý 2 lãi 10,959 tỷ, mức cao nhất trong bốn năm trở lại đây, với tổng thu nhập hoạt động 43,400 tỷ, tăng 35.2%.</w:t>
      </w:r>
    </w:p>
    <w:p>
      <w:pPr>
        <w:spacing w:after="160" w:line="259" w:lineRule="auto"/>
      </w:pPr>
      <w:r>
        <w:rPr>
          <w:rFonts w:ascii="Noto Sans" w:cs="Noto Sans" w:eastAsia="Noto Sans" w:hAnsi="Noto Sans"/>
          <w:b w:val="false"/>
          <w:bCs w:val="false"/>
          <w:sz w:val="20"/>
          <w:szCs w:val="20"/>
        </w:rPr>
        <w:t xml:space="preserve">Quy mô cũng nở ra rất nhanh.</w:t>
      </w:r>
    </w:p>
    <w:p>
      <w:pPr>
        <w:pStyle w:val="ListParagraph"/>
        <w:numPr>
          <w:ilvl w:val="0"/>
          <w:numId w:val="2"/>
        </w:numPr>
        <w:spacing w:after="160" w:line="259" w:lineRule="auto"/>
      </w:pPr>
      <w:r>
        <w:rPr>
          <w:rFonts w:ascii="Noto Sans" w:cs="Noto Sans" w:eastAsia="Noto Sans" w:hAnsi="Noto Sans"/>
          <w:b/>
          <w:bCs/>
          <w:sz w:val="20"/>
          <w:szCs w:val="20"/>
        </w:rPr>
        <w:t xml:space="preserve">Tổng tài sản đã vượt 1.5 triệu tỷ đồng, tăng 19.2% so với đầu năm, còn cho vay khách hàng tăng tới 40.4% so với cùng kỳ — và đây là quý thứ năm liên tiếp tăng trên 30%.</w:t>
      </w:r>
    </w:p>
    <w:p>
      <w:pPr>
        <w:spacing w:after="160" w:line="259" w:lineRule="auto"/>
      </w:pPr>
      <w:r>
        <w:rPr>
          <w:rFonts w:ascii="Noto Sans" w:cs="Noto Sans" w:eastAsia="Noto Sans" w:hAnsi="Noto Sans"/>
          <w:b w:val="false"/>
          <w:bCs w:val="false"/>
          <w:sz w:val="20"/>
          <w:szCs w:val="20"/>
        </w:rPr>
        <w:t xml:space="preserve">Cho vay nhanh như vậy thì câu hỏi đầu tiên phải là nợ xấu. Và đây mới là phần đáng chú ý.</w:t>
      </w:r>
    </w:p>
    <w:p>
      <w:pPr>
        <w:pStyle w:val="ListParagraph"/>
        <w:numPr>
          <w:ilvl w:val="0"/>
          <w:numId w:val="2"/>
        </w:numPr>
        <w:spacing w:after="160" w:line="259" w:lineRule="auto"/>
      </w:pPr>
      <w:r>
        <w:rPr>
          <w:rFonts w:ascii="Noto Sans" w:cs="Noto Sans" w:eastAsia="Noto Sans" w:hAnsi="Noto Sans"/>
          <w:b/>
          <w:bCs/>
          <w:sz w:val="20"/>
          <w:szCs w:val="20"/>
        </w:rPr>
        <w:t xml:space="preserve">Nợ xấu hợp nhất đã giảm về 3.34%, so với đỉnh 6.7% hồi giữa năm 2023 — thấp nhất kể từ 2020. Chi phí tín dụng cũng hạ từ gần 6% năm 2021 xuống còn 2.24% dư nợ.</w:t>
      </w:r>
    </w:p>
    <w:p>
      <w:pPr>
        <w:spacing w:after="160" w:line="259" w:lineRule="auto"/>
      </w:pPr>
      <w:r>
        <w:rPr>
          <w:rFonts w:ascii="Noto Sans" w:cs="Noto Sans" w:eastAsia="Noto Sans" w:hAnsi="Noto Sans"/>
          <w:b w:val="false"/>
          <w:bCs w:val="false"/>
          <w:sz w:val="20"/>
          <w:szCs w:val="20"/>
        </w:rPr>
        <w:t xml:space="preserve">Nói cách khác, phần lớn đà tăng lợi nhuận đến từ việc ngân hàng không còn phải trích lập dự phòng nặng như giai đoạn trước.</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[Luận điểm 2 – câu chuyện tăng vốn]</w:t>
      </w:r>
    </w:p>
    <w:p>
      <w:pPr>
        <w:spacing w:after="160" w:line="259" w:lineRule="auto"/>
      </w:pPr>
      <w:r>
        <w:rPr>
          <w:rFonts w:ascii="Noto Sans" w:cs="Noto Sans" w:eastAsia="Noto Sans" w:hAnsi="Noto Sans"/>
          <w:b w:val="false"/>
          <w:bCs w:val="false"/>
          <w:sz w:val="20"/>
          <w:szCs w:val="20"/>
        </w:rPr>
        <w:t xml:space="preserve">Còn chất xúc tác ngắn hạn thì nằm ở chuyện tăng vốn.</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val="false"/>
          <w:bCs w:val="false"/>
          <w:sz w:val="20"/>
          <w:szCs w:val="20"/>
        </w:rPr>
        <w:t xml:space="preserve">VPBank dự kiến nâng vốn điều lệ từ 79,339 lên 106,243 tỷ đồng, và nếu hoàn tất sẽ là mức cao nhất hệ thống. Lộ trình gồm hai bước, đều rơi vào quý 3 và quý 4 năm nay.</w:t>
      </w:r>
    </w:p>
    <w:p>
      <w:pPr>
        <w:spacing w:after="160" w:line="259" w:lineRule="auto"/>
      </w:pPr>
      <w:r>
        <w:rPr>
          <w:rFonts w:ascii="Noto Sans" w:cs="Noto Sans" w:eastAsia="Noto Sans" w:hAnsi="Noto Sans"/>
          <w:sz w:val="20"/>
          <w:szCs w:val="20"/>
        </w:rPr>
        <w:t xml:space="preserve"/>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một là chia cổ tức bằng cổ phiếu tỷ lệ 26.04%, tương đương khoảng 2.06 tỷ cổ phiếu.</w:t>
      </w:r>
    </w:p>
    <w:p>
      <w:pPr>
        <w:pStyle w:val="ListParagraph"/>
        <w:numPr>
          <w:ilvl w:val="0"/>
          <w:numId w:val="2"/>
        </w:numPr>
        <w:spacing w:after="160" w:line="259" w:lineRule="auto"/>
      </w:pPr>
      <w:r>
        <w:rPr>
          <w:rFonts w:ascii="Noto Sans" w:cs="Noto Sans" w:eastAsia="Noto Sans" w:hAnsi="Noto Sans"/>
          <w:b w:val="false"/>
          <w:bCs w:val="false"/>
          <w:sz w:val="20"/>
          <w:szCs w:val="20"/>
        </w:rPr>
        <w:t xml:space="preserve">Bước hai là chào bán riêng lẻ 624 triệu cổ phiếu cho đối tác nước ngoài. Nếu thành công, sở hữu nước ngoài có thể lên khoảng 34%.</w:t>
      </w:r>
    </w:p>
    <w:p>
      <w:pPr>
        <w:spacing w:after="160" w:line="259" w:lineRule="auto"/>
      </w:pPr>
      <w:r>
        <w:rPr>
          <w:rFonts w:ascii="Noto Sans" w:cs="Noto Sans" w:eastAsia="Noto Sans" w:hAnsi="Noto Sans"/>
          <w:b w:val="false"/>
          <w:bCs w:val="false"/>
          <w:sz w:val="20"/>
          <w:szCs w:val="20"/>
        </w:rPr>
        <w:t xml:space="preserve">Và điểm thú vị nhất nằm ở chỗ này: vì đã nhận chuyển giao GPBank, room ngoại của VPBank có thể được nới tới 49%. Hiện nhà đầu tư nước ngoài mới nắm 24.3%, nên dư địa vẫn còn khá rộng.</w:t>
      </w:r>
    </w:p>
    <w:p>
      <w:pPr>
        <w:spacing w:after="160" w:line="259" w:lineRule="auto"/>
      </w:pPr>
      <w:r>
        <w:rPr>
          <w:rFonts w:ascii="Noto Sans" w:cs="Noto Sans" w:eastAsia="Noto Sans" w:hAnsi="Noto Sans"/>
          <w:sz w:val="20"/>
          <w:szCs w:val="20"/>
        </w:rPr>
        <w:t xml:space="preserve"/>
      </w:r>
    </w:p>
    <w:p>
      <w:pPr>
        <w:spacing w:after="160" w:line="259" w:lineRule="auto"/>
      </w:pPr>
      <w:r>
        <w:rPr>
          <w:rFonts w:ascii="Noto Sans" w:cs="Noto Sans" w:eastAsia="Noto Sans" w:hAnsi="Noto Sans"/>
          <w:b/>
          <w:bCs/>
          <w:sz w:val="20"/>
          <w:szCs w:val="20"/>
        </w:rPr>
        <w:t xml:space="preserve">[Chốt]</w:t>
      </w:r>
    </w:p>
    <w:p>
      <w:pPr>
        <w:spacing w:after="160" w:line="259" w:lineRule="auto"/>
      </w:pPr>
      <w:r>
        <w:rPr>
          <w:rFonts w:ascii="Noto Sans" w:cs="Noto Sans" w:eastAsia="Noto Sans" w:hAnsi="Noto Sans"/>
          <w:b w:val="false"/>
          <w:bCs w:val="false"/>
          <w:sz w:val="20"/>
          <w:szCs w:val="20"/>
        </w:rPr>
        <w:t xml:space="preserve">Với những yếu tố trên, chúng tôi khuyến nghị MUA cổ phiếu VPB, giá mục tiêu 33,800 đồng.</w:t>
      </w:r>
    </w:p>
    <w:p>
      <w:pPr>
        <w:spacing w:after="160" w:line="259" w:lineRule="auto"/>
      </w:pPr>
      <w:r>
        <w:rPr>
          <w:rFonts w:ascii="Noto Sans" w:cs="Noto Sans" w:eastAsia="Noto Sans" w:hAnsi="Noto Sans"/>
          <w:b w:val="false"/>
          <w:bCs w:val="false"/>
          <w:sz w:val="20"/>
          <w:szCs w:val="20"/>
        </w:rPr>
        <w:t xml:space="preserve">Dù vậy cũng cần lưu ý vài điểm. Nền so sánh nửa cuối 2025 rất cao, nên con số tăng trưởng công bố trong nửa cuối năm nay sẽ nhỏ lại đáng kể. Thực tế, ngân hàng chỉ cần tăng khoảng 16% là đã hoàn thành kế hoạch. Bên cạnh đó, cổ phiếu sẽ pha loãng khoảng 21% sau khi chia cổ tức, trong khi NIM đang mỏng dần và CASA giảm còn 11.5%.</w:t>
      </w:r>
    </w:p>
    <w:p>
      <w:pPr>
        <w:spacing w:after="160" w:line="259" w:lineRule="auto"/>
      </w:pPr>
      <w:r>
        <w:rPr>
          <w:rFonts w:ascii="Noto Sans" w:cs="Noto Sans" w:eastAsia="Noto Sans" w:hAnsi="Noto Sans"/>
          <w:b w:val="false"/>
          <w:bCs w:val="false"/>
          <w:sz w:val="20"/>
          <w:szCs w:val="20"/>
        </w:rPr>
        <w:t xml:space="preserve">Nhìn chung, đây là câu chuyện tăng trưởng có thêm chính sách hỗ trợ, chứ không phải câu chuyện cổ phiếu rẻ.</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w:cs="Noto Sans" w:eastAsia="Noto Sans" w:hAnsi="Noto Sans"/>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HotStock VPB</dc:title>
  <dc:creator>Mirae Asset Securities (Vietnam) — Research</dc:creator>
  <cp:lastModifiedBy>Un-named</cp:lastModifiedBy>
  <cp:revision>1</cp:revision>
  <dcterms:created xsi:type="dcterms:W3CDTF">2026-07-30T08:01:05.962Z</dcterms:created>
  <dcterms:modified xsi:type="dcterms:W3CDTF">2026-07-30T08:01:05.962Z</dcterms:modified>
</cp:coreProperties>
</file>

<file path=docProps/custom.xml><?xml version="1.0" encoding="utf-8"?>
<Properties xmlns="http://schemas.openxmlformats.org/officeDocument/2006/custom-properties" xmlns:vt="http://schemas.openxmlformats.org/officeDocument/2006/docPropsVTypes"/>
</file>