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26.6</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152,658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2,060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Holding the ratio at 5.5% on the smaller loan book would have required net NPL recoveries in 2H26; 5.8% keeps the absolute balance at VND37,157bn and implied net formation just positive. Reserves reached VND27.2tn at end-2Q26 — 56.7% coverage, up from 50.0% at end-FY25 — after VND7.1tn of 1H26 charges. A further VND3.1tn charge in 2H26 funds write-offs of VND11.0tn, or 34% of the Group 5 balance, leaving coverage at 50.9%.</w:t>
      </w:r>
    </w:p>
    <w:p>
      <w:pPr>
        <w:spacing w:after="40" w:line="250"/>
        <w:jc w:val="left"/>
      </w:pPr>
      <w:r>
        <w:rPr>
          <w:rFonts w:ascii="Calibri" w:cs="Calibri" w:eastAsia="Calibri" w:hAnsi="Calibri"/>
          <w:b/>
          <w:bCs/>
          <w:color w:val="1F3864"/>
          <w:sz w:val="17"/>
          <w:szCs w:val="17"/>
        </w:rPr>
        <w:t xml:space="preserve">FY26F PBT of VND7,461bn on the loan growth reset:</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now carry FY26F loan growth of 2.3%, against the 11.7% previously assumed and the 1.5% delivered in 1H26. That takes gross loans to VND640,643bn and NII to VND24,531bn (-8.1% YoY), and FY26F PBT to VND7,461bn (-2.2% YoY) — 7.9% below the board-approved plan of VND8,100bn, where we previously sat marginally above it. The implied 2H26 PBT is VND3,325bn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VND10.2tn (-10.4% YoY) and non-interest income of VND5,950bn. CIR steps down from 42.1% in FY26F to 40.0% in FY27F and 38.0% in FY28F; on 1H26 opex of VND6,233bn that puts 2H26 costs at VND6,585bn, +5.6% on the first half, so no cost reduction is assumed. FY27F carries VND1,000bn of specific charge above what write-offs consume and FY28F VND2,000bn, so reserve stock builds rather than merely funding disposals. FY27F NII grows 9.9% as NIM turns — NII/average loans goes from 3.87% to 3.96% — carrying FY27F PBT to VND9,872bn (+32%) and FY28F to VND15,271bn (+55%).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7,686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11,890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3,731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20.1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1,125,396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1,262,644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73,415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85,305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31,905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35,636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41,407</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26.6</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152,658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2,060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5.5% trên nền dư nợ đã thu hẹp sẽ đòi hỏi nợ xấu phải được thu hồi ròng trong 2H26; mức 5.8% giữ số dư tuyệt đối ở 37,157 tỷ đồng và nợ xấu phát sinh mới vẫn dương. Dự phòng đạt 27.2 nghìn tỷ đồng cuối Q2/2026 — bao phủ 56.7%, tăng từ 50.0% cuối 2025 — sau khi trích 7.1 nghìn tỷ đồng trong 1H26 và trích thêm 3.1 nghìn tỷ đồng trong 2H26 đủ để xóa 11.0 nghìn tỷ đồng, tương đương 34% dư nợ nhóm 5, đưa bao phủ về 50.9%.</w:t>
      </w:r>
    </w:p>
    <w:p>
      <w:pPr>
        <w:spacing w:after="40" w:line="250"/>
        <w:jc w:val="left"/>
      </w:pPr>
      <w:r>
        <w:rPr>
          <w:rFonts w:ascii="Calibri" w:cs="Calibri" w:eastAsia="Calibri" w:hAnsi="Calibri"/>
          <w:b/>
          <w:bCs/>
          <w:color w:val="1F3864"/>
          <w:sz w:val="17"/>
          <w:szCs w:val="17"/>
        </w:rPr>
        <w:t xml:space="preserve">Đặt LNTT FY26F ở 7,500 tỷ đồng sau khi điều chỉnh tăng trưởng tín dụng:</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640,643 tỷ đồng và NII còn 24,531 tỷ đồng (-8.1% CK), kéo LNTT FY26F xuống 7,461 tỷ đồng (-2.2% CK) — thấp hơn 8% so với kế hoạch 8,100 tỷ đồng đã được ĐHĐCĐ thông qua, trong khi bản trước còn nhỉnh hơn kế hoạch. Mức này hàm ý LNTT 2H26 khoảng 3,325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10.2 nghìn tỷ đồng (-10.4% CK) và thu nhập ngoài lãi 5,950 tỷ đồng. CIR giảm dần từ 42.1% năm FY26F về 40.0% FY27F và 38.0% FY28F; với chi phí 1H26 là 6,233 tỷ đồng, mức này cho chi phí 2H26 ở 6,585 tỷ đồng, +5.6% so với nửa đầu năm, tức không giả định cắt giảm chi phí. FY27F trích thêm 1,000 tỷ đồng và FY28F 2,000 tỷ đồng ngoài phần đủ bù xóa nợ, tức bộ đệm dự phòng được bồi đắp chứ không chỉ tài trợ xử lý nợ. NII FY27F tăng 9.9% khi NIM đảo chiều — NII/dư nợ bình quân từ 3.87% lên 3.96% — đưa LNTT FY27F lên 9,872 tỷ đồng (+32%) và FY28F lên 15,271 tỷ đồng (+55%).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7,686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11,890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3,747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4,896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2,820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3,731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20.1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1,125,396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1,262,644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73,415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85,305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22,199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29,059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31,905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35,636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41,407</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2026-08-06T04:12:51.423Z</dcterms:created>
  <dcterms:modified xsi:type="dcterms:W3CDTF">2026-08-06T04:12:51.423Z</dcterms:modified>
</cp:coreProperties>
</file>

<file path=docProps/custom.xml><?xml version="1.0" encoding="utf-8"?>
<Properties xmlns="http://schemas.openxmlformats.org/officeDocument/2006/custom-properties" xmlns:vt="http://schemas.openxmlformats.org/officeDocument/2006/docPropsVTypes"/>
</file>